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D979" w14:textId="131B2C31" w:rsidR="00C35FC0" w:rsidRDefault="00C35FC0" w:rsidP="007A510B">
      <w:pPr>
        <w:pStyle w:val="Heading1"/>
      </w:pPr>
    </w:p>
    <w:tbl>
      <w:tblPr>
        <w:tblStyle w:val="TableGrid"/>
        <w:tblW w:w="9493" w:type="dxa"/>
        <w:tblLook w:val="04A0" w:firstRow="1" w:lastRow="0" w:firstColumn="1" w:lastColumn="0" w:noHBand="0" w:noVBand="1"/>
      </w:tblPr>
      <w:tblGrid>
        <w:gridCol w:w="9493"/>
      </w:tblGrid>
      <w:tr w:rsidR="002F6421" w:rsidRPr="002F6421" w14:paraId="2AED0795" w14:textId="77777777" w:rsidTr="00AC5FC9">
        <w:trPr>
          <w:trHeight w:val="345"/>
        </w:trPr>
        <w:tc>
          <w:tcPr>
            <w:tcW w:w="9493" w:type="dxa"/>
            <w:noWrap/>
            <w:hideMark/>
          </w:tcPr>
          <w:p w14:paraId="39D491E0" w14:textId="77777777" w:rsidR="002F6421" w:rsidRPr="002F6421" w:rsidRDefault="002F6421" w:rsidP="007A510B">
            <w:pPr>
              <w:pStyle w:val="Heading1"/>
            </w:pPr>
            <w:bookmarkStart w:id="0" w:name="RANGE!A1:A64"/>
            <w:bookmarkStart w:id="1" w:name="_Hlk69729788"/>
            <w:bookmarkStart w:id="2" w:name="OLE_LINK4"/>
            <w:bookmarkStart w:id="3" w:name="OLE_LINK5"/>
            <w:bookmarkStart w:id="4" w:name="OLE_LINK6"/>
            <w:bookmarkStart w:id="5" w:name="OLE_LINK7"/>
            <w:bookmarkStart w:id="6" w:name="OLE_LINK8"/>
            <w:bookmarkStart w:id="7" w:name="OLE_LINK9"/>
            <w:r w:rsidRPr="002F6421">
              <w:t>Guidelines to use the Directory</w:t>
            </w:r>
            <w:bookmarkEnd w:id="0"/>
          </w:p>
        </w:tc>
      </w:tr>
      <w:tr w:rsidR="002F6421" w:rsidRPr="002F6421" w14:paraId="1B8870B0" w14:textId="77777777" w:rsidTr="00AC5FC9">
        <w:trPr>
          <w:trHeight w:val="1104"/>
        </w:trPr>
        <w:tc>
          <w:tcPr>
            <w:tcW w:w="9493" w:type="dxa"/>
            <w:tcBorders>
              <w:bottom w:val="single" w:sz="4" w:space="0" w:color="auto"/>
            </w:tcBorders>
            <w:hideMark/>
          </w:tcPr>
          <w:p w14:paraId="3EB30470" w14:textId="5A0A4526" w:rsidR="00E538E9" w:rsidRPr="002F6421" w:rsidRDefault="002F6421">
            <w:r w:rsidRPr="002F6421">
              <w:t xml:space="preserve">A list of Service Providers with their location, sectoral experience, functional experience, client company size and </w:t>
            </w:r>
            <w:r w:rsidR="00912C58">
              <w:t>contact details</w:t>
            </w:r>
            <w:r w:rsidRPr="002F6421">
              <w:t xml:space="preserve"> are given on the </w:t>
            </w:r>
            <w:r w:rsidR="00322903">
              <w:t>first</w:t>
            </w:r>
            <w:r w:rsidRPr="002F6421">
              <w:t xml:space="preserve"> excel sheet.</w:t>
            </w:r>
          </w:p>
          <w:p w14:paraId="2C1E72DC" w14:textId="77777777" w:rsidR="00E538E9" w:rsidRPr="002F6421" w:rsidRDefault="00E538E9">
            <w:r w:rsidRPr="002F6421">
              <w:t>Click on the Service Provider name for their website / LinkedIn profile.</w:t>
            </w:r>
          </w:p>
          <w:p w14:paraId="14E11FAA" w14:textId="6B20CCD3" w:rsidR="0083443F" w:rsidRPr="00B8490E" w:rsidRDefault="00A94A13" w:rsidP="00E538E9">
            <w:pPr>
              <w:rPr>
                <w:b/>
                <w:bCs/>
              </w:rPr>
            </w:pPr>
            <w:r>
              <w:rPr>
                <w:b/>
                <w:bCs/>
              </w:rPr>
              <w:t>User of the Directory</w:t>
            </w:r>
            <w:r w:rsidR="0018762C" w:rsidRPr="00B8490E">
              <w:rPr>
                <w:b/>
                <w:bCs/>
              </w:rPr>
              <w:t xml:space="preserve"> should </w:t>
            </w:r>
            <w:r w:rsidR="001E42E1" w:rsidRPr="00B8490E">
              <w:rPr>
                <w:b/>
                <w:bCs/>
              </w:rPr>
              <w:t xml:space="preserve">interview at least three service providers and </w:t>
            </w:r>
            <w:r w:rsidR="0018762C" w:rsidRPr="00B8490E">
              <w:rPr>
                <w:b/>
                <w:bCs/>
              </w:rPr>
              <w:t xml:space="preserve">obtain three competitive quotations or tenders for consultancy/training </w:t>
            </w:r>
            <w:r w:rsidR="00410A43" w:rsidRPr="00B8490E">
              <w:rPr>
                <w:b/>
                <w:bCs/>
              </w:rPr>
              <w:t>fees</w:t>
            </w:r>
            <w:r w:rsidR="001113A6" w:rsidRPr="00B8490E">
              <w:rPr>
                <w:b/>
                <w:bCs/>
              </w:rPr>
              <w:t>.</w:t>
            </w:r>
          </w:p>
        </w:tc>
      </w:tr>
      <w:tr w:rsidR="002F6421" w:rsidRPr="002F6421" w14:paraId="38FF3F08" w14:textId="77777777" w:rsidTr="00AC5FC9">
        <w:trPr>
          <w:trHeight w:val="255"/>
        </w:trPr>
        <w:tc>
          <w:tcPr>
            <w:tcW w:w="9493" w:type="dxa"/>
            <w:hideMark/>
          </w:tcPr>
          <w:p w14:paraId="44457DFD" w14:textId="77777777" w:rsidR="002F6421" w:rsidRPr="002F6421" w:rsidRDefault="002F6421">
            <w:r w:rsidRPr="002F6421">
              <w:t> </w:t>
            </w:r>
          </w:p>
        </w:tc>
      </w:tr>
      <w:tr w:rsidR="002F6421" w:rsidRPr="002F6421" w14:paraId="38955CF2" w14:textId="77777777" w:rsidTr="00AC5FC9">
        <w:trPr>
          <w:trHeight w:val="300"/>
        </w:trPr>
        <w:tc>
          <w:tcPr>
            <w:tcW w:w="9493" w:type="dxa"/>
            <w:noWrap/>
            <w:hideMark/>
          </w:tcPr>
          <w:p w14:paraId="3321F3DE" w14:textId="13DB955F" w:rsidR="002F6421" w:rsidRPr="002F6421" w:rsidRDefault="002F6421" w:rsidP="002B0FDB">
            <w:pPr>
              <w:pStyle w:val="Heading2"/>
            </w:pPr>
            <w:r w:rsidRPr="002F6421">
              <w:t>Location</w:t>
            </w:r>
            <w:r w:rsidR="00AF4E8E">
              <w:t xml:space="preserve"> </w:t>
            </w:r>
            <w:r w:rsidRPr="002F6421">
              <w:t>&amp; Functional Experiences</w:t>
            </w:r>
          </w:p>
        </w:tc>
      </w:tr>
      <w:tr w:rsidR="002F6421" w:rsidRPr="002F6421" w14:paraId="20A18CAF" w14:textId="77777777" w:rsidTr="00AC5FC9">
        <w:trPr>
          <w:trHeight w:val="547"/>
        </w:trPr>
        <w:tc>
          <w:tcPr>
            <w:tcW w:w="9493" w:type="dxa"/>
            <w:tcBorders>
              <w:bottom w:val="single" w:sz="4" w:space="0" w:color="auto"/>
            </w:tcBorders>
            <w:hideMark/>
          </w:tcPr>
          <w:p w14:paraId="46BD51BC" w14:textId="400F90D1" w:rsidR="00E538E9" w:rsidRPr="002F6421" w:rsidRDefault="002F6421">
            <w:r w:rsidRPr="002F6421">
              <w:t>Select one or more location(s)</w:t>
            </w:r>
            <w:r w:rsidR="00AF4E8E">
              <w:t xml:space="preserve"> </w:t>
            </w:r>
            <w:r w:rsidRPr="002F6421">
              <w:t>and functional experiences(s).</w:t>
            </w:r>
          </w:p>
          <w:p w14:paraId="326D27ED" w14:textId="6860056F" w:rsidR="002F6421" w:rsidRPr="002F6421" w:rsidRDefault="00E538E9" w:rsidP="00E538E9">
            <w:r w:rsidRPr="002F6421">
              <w:t>Service Providers meeting your selections will be given.</w:t>
            </w:r>
          </w:p>
        </w:tc>
      </w:tr>
      <w:tr w:rsidR="002F6421" w:rsidRPr="002F6421" w14:paraId="23BA9AF5" w14:textId="77777777" w:rsidTr="00AC5FC9">
        <w:trPr>
          <w:trHeight w:val="255"/>
        </w:trPr>
        <w:tc>
          <w:tcPr>
            <w:tcW w:w="9493" w:type="dxa"/>
            <w:hideMark/>
          </w:tcPr>
          <w:p w14:paraId="6F081280" w14:textId="77777777" w:rsidR="002F6421" w:rsidRPr="002F6421" w:rsidRDefault="002F6421">
            <w:r w:rsidRPr="002F6421">
              <w:t> </w:t>
            </w:r>
          </w:p>
        </w:tc>
      </w:tr>
      <w:tr w:rsidR="002F6421" w:rsidRPr="002F6421" w14:paraId="0CEBFF5A" w14:textId="77777777" w:rsidTr="00AC5FC9">
        <w:trPr>
          <w:trHeight w:val="300"/>
        </w:trPr>
        <w:tc>
          <w:tcPr>
            <w:tcW w:w="9493" w:type="dxa"/>
            <w:hideMark/>
          </w:tcPr>
          <w:p w14:paraId="48D7768E" w14:textId="2183F5C4" w:rsidR="002F6421" w:rsidRPr="002F6421" w:rsidRDefault="002F6421" w:rsidP="002B0FDB">
            <w:pPr>
              <w:pStyle w:val="Heading2"/>
            </w:pPr>
            <w:r w:rsidRPr="002F6421">
              <w:t xml:space="preserve">Functional Experiences </w:t>
            </w:r>
            <w:r w:rsidR="00AF4F44">
              <w:t>(Sheet 1)</w:t>
            </w:r>
          </w:p>
        </w:tc>
      </w:tr>
      <w:tr w:rsidR="00E836AA" w:rsidRPr="002F6421" w14:paraId="11427655" w14:textId="77777777" w:rsidTr="00AC5FC9">
        <w:trPr>
          <w:trHeight w:val="255"/>
        </w:trPr>
        <w:tc>
          <w:tcPr>
            <w:tcW w:w="9493" w:type="dxa"/>
          </w:tcPr>
          <w:p w14:paraId="7E0E9A4D" w14:textId="5924C48D" w:rsidR="00E836AA" w:rsidRPr="002F6421" w:rsidRDefault="00E836AA">
            <w:pPr>
              <w:rPr>
                <w:b/>
                <w:bCs/>
              </w:rPr>
            </w:pPr>
            <w:r>
              <w:rPr>
                <w:b/>
                <w:bCs/>
              </w:rPr>
              <w:t>Biodiversity;</w:t>
            </w:r>
            <w:r>
              <w:t xml:space="preserve"> </w:t>
            </w:r>
            <w:r w:rsidR="00253704" w:rsidRPr="00253704">
              <w:t xml:space="preserve">training/mentoring on </w:t>
            </w:r>
            <w:r w:rsidR="00183D83" w:rsidRPr="00183D83">
              <w:t xml:space="preserve">corporate biodiversity strategy aligned with TNFD and other biodiversity standards/guidance, </w:t>
            </w:r>
            <w:r w:rsidR="00253704" w:rsidRPr="00253704">
              <w:t>biodiversity awareness, and development of a biodiversity action plan for both company operations and supply chain including tools to assess the impact of a company’s supply chain on biodiversity.</w:t>
            </w:r>
          </w:p>
        </w:tc>
      </w:tr>
      <w:tr w:rsidR="002F6421" w:rsidRPr="002F6421" w14:paraId="7643DA64" w14:textId="77777777" w:rsidTr="00AC5FC9">
        <w:trPr>
          <w:trHeight w:val="255"/>
        </w:trPr>
        <w:tc>
          <w:tcPr>
            <w:tcW w:w="9493" w:type="dxa"/>
            <w:hideMark/>
          </w:tcPr>
          <w:p w14:paraId="15E11087" w14:textId="24C0237A" w:rsidR="002F6421" w:rsidRPr="002F6421" w:rsidRDefault="002F6421">
            <w:r w:rsidRPr="002F6421">
              <w:rPr>
                <w:b/>
                <w:bCs/>
              </w:rPr>
              <w:t xml:space="preserve">Carbon </w:t>
            </w:r>
            <w:r w:rsidR="00253704">
              <w:rPr>
                <w:b/>
                <w:bCs/>
              </w:rPr>
              <w:t>Footprinting/Management</w:t>
            </w:r>
            <w:r w:rsidRPr="002F6421">
              <w:t>; training/mentoring based on ISO 14064, Greenhouse Gas Protocol or similar.</w:t>
            </w:r>
          </w:p>
        </w:tc>
      </w:tr>
      <w:tr w:rsidR="002F6421" w:rsidRPr="002F6421" w14:paraId="78B02553" w14:textId="77777777" w:rsidTr="00AC5FC9">
        <w:trPr>
          <w:trHeight w:val="255"/>
        </w:trPr>
        <w:tc>
          <w:tcPr>
            <w:tcW w:w="9493" w:type="dxa"/>
            <w:hideMark/>
          </w:tcPr>
          <w:p w14:paraId="20E1275F" w14:textId="335736E5" w:rsidR="002F6421" w:rsidRPr="002F6421" w:rsidRDefault="002F6421">
            <w:r w:rsidRPr="002F6421">
              <w:rPr>
                <w:b/>
                <w:bCs/>
              </w:rPr>
              <w:t xml:space="preserve">Circular Economy </w:t>
            </w:r>
            <w:r w:rsidR="00B629BD">
              <w:rPr>
                <w:b/>
                <w:bCs/>
              </w:rPr>
              <w:t>Innovation</w:t>
            </w:r>
            <w:r w:rsidRPr="002F6421">
              <w:t xml:space="preserve">; </w:t>
            </w:r>
            <w:r w:rsidR="00B629BD" w:rsidRPr="00B629BD">
              <w:t>training/mentoring to understand the relevance of circular economy and innovation. Carry out a circular gap assessment and identify new opportunities for business growth. Prepare a plan to identify and develop circular economy ideas for a more circular product, process or service.</w:t>
            </w:r>
          </w:p>
        </w:tc>
      </w:tr>
      <w:tr w:rsidR="002F6421" w:rsidRPr="002F6421" w14:paraId="2BCA3B2C" w14:textId="77777777" w:rsidTr="00AC5FC9">
        <w:trPr>
          <w:trHeight w:val="255"/>
        </w:trPr>
        <w:tc>
          <w:tcPr>
            <w:tcW w:w="9493" w:type="dxa"/>
            <w:hideMark/>
          </w:tcPr>
          <w:p w14:paraId="285DA686" w14:textId="0A66D23C" w:rsidR="002F6421" w:rsidRPr="002F6421" w:rsidRDefault="002F6421">
            <w:r w:rsidRPr="002F6421">
              <w:rPr>
                <w:b/>
                <w:bCs/>
              </w:rPr>
              <w:t>Climate Adaptation</w:t>
            </w:r>
            <w:r w:rsidRPr="002F6421">
              <w:t xml:space="preserve">; </w:t>
            </w:r>
            <w:r w:rsidR="00977669" w:rsidRPr="00977669">
              <w:t>training/mentoring to develop skills on identifying and understanding climate risks and opportunities based on the Task Force on Climate Related Financial Disclosures (TCFD), ISO 14091 or similar</w:t>
            </w:r>
            <w:r w:rsidR="00CD200B">
              <w:t>.</w:t>
            </w:r>
          </w:p>
        </w:tc>
      </w:tr>
      <w:tr w:rsidR="002F6421" w:rsidRPr="002F6421" w14:paraId="129A15A4" w14:textId="77777777" w:rsidTr="00AC5FC9">
        <w:trPr>
          <w:trHeight w:val="255"/>
        </w:trPr>
        <w:tc>
          <w:tcPr>
            <w:tcW w:w="9493" w:type="dxa"/>
            <w:hideMark/>
          </w:tcPr>
          <w:p w14:paraId="12A9AE8D" w14:textId="7FBBBA0D" w:rsidR="002F6421" w:rsidRPr="002F6421" w:rsidRDefault="002F6421">
            <w:r w:rsidRPr="002F6421">
              <w:rPr>
                <w:b/>
                <w:bCs/>
              </w:rPr>
              <w:t>Communications</w:t>
            </w:r>
            <w:r w:rsidRPr="002F6421">
              <w:t>;</w:t>
            </w:r>
            <w:r w:rsidRPr="002F6421">
              <w:rPr>
                <w:b/>
                <w:bCs/>
              </w:rPr>
              <w:t xml:space="preserve"> </w:t>
            </w:r>
            <w:r w:rsidR="00530283" w:rsidRPr="00530283">
              <w:t>training/mentoring to develop skills to create internal and external sustainability reports, campaigns and communications, messaging &amp; reporting, to reflect the purpose and value of a business to customers, clients and other stakeholders</w:t>
            </w:r>
            <w:r w:rsidR="009E14F9">
              <w:t>.</w:t>
            </w:r>
          </w:p>
        </w:tc>
      </w:tr>
      <w:tr w:rsidR="002F6421" w:rsidRPr="002F6421" w14:paraId="09FFE3B6" w14:textId="77777777" w:rsidTr="00AC5FC9">
        <w:trPr>
          <w:trHeight w:val="510"/>
        </w:trPr>
        <w:tc>
          <w:tcPr>
            <w:tcW w:w="9493" w:type="dxa"/>
            <w:hideMark/>
          </w:tcPr>
          <w:p w14:paraId="229A06B4" w14:textId="517B3C0E" w:rsidR="002F6421" w:rsidRPr="002F6421" w:rsidRDefault="00F62C08">
            <w:r>
              <w:rPr>
                <w:b/>
                <w:bCs/>
              </w:rPr>
              <w:t>*</w:t>
            </w:r>
            <w:r w:rsidR="002F6421" w:rsidRPr="002F6421">
              <w:rPr>
                <w:b/>
                <w:bCs/>
              </w:rPr>
              <w:t>Corporate Sustainable Strategy;</w:t>
            </w:r>
            <w:r w:rsidR="002F6421" w:rsidRPr="002F6421">
              <w:t xml:space="preserve"> </w:t>
            </w:r>
            <w:r w:rsidR="0060170D" w:rsidRPr="0060170D">
              <w:t xml:space="preserve">training/mentoring/advice on sustainability/decarbonisation/climate action strategy, action plans, incremental &amp; stretch targets, </w:t>
            </w:r>
            <w:r w:rsidR="0060170D">
              <w:t>aligning to</w:t>
            </w:r>
            <w:r w:rsidR="0060170D" w:rsidRPr="0060170D">
              <w:t xml:space="preserve"> global &amp; national sustainability frameworks, pledges, disclosure systems</w:t>
            </w:r>
            <w:r w:rsidR="001A7869">
              <w:t>, benchmarks</w:t>
            </w:r>
            <w:r w:rsidR="0060170D" w:rsidRPr="0060170D">
              <w:t xml:space="preserve"> and certifications</w:t>
            </w:r>
            <w:r w:rsidR="00230E88">
              <w:t>. A breakdown of the following framew</w:t>
            </w:r>
            <w:r w:rsidR="00232AF8">
              <w:t>ork</w:t>
            </w:r>
            <w:r w:rsidR="00230E88">
              <w:t>s</w:t>
            </w:r>
            <w:r w:rsidR="00ED5B9B">
              <w:t>/systems</w:t>
            </w:r>
            <w:r w:rsidR="00230E88">
              <w:t xml:space="preserve"> are given on the</w:t>
            </w:r>
            <w:r w:rsidR="00AC5377">
              <w:t xml:space="preserve"> corporate sustainab</w:t>
            </w:r>
            <w:r w:rsidR="005B5656">
              <w:t>le strategy</w:t>
            </w:r>
            <w:r w:rsidR="00AC5377">
              <w:t xml:space="preserve"> </w:t>
            </w:r>
            <w:r w:rsidR="00230E88">
              <w:t>excel sheet;</w:t>
            </w:r>
            <w:r w:rsidR="0060170D" w:rsidRPr="0060170D">
              <w:t xml:space="preserve"> </w:t>
            </w:r>
            <w:r w:rsidR="00CB50C8" w:rsidRPr="00CB50C8">
              <w:t>Science Based Target Initiative, SME Climate Hub, PAS 2060 Carbon Neutral, RE 100, UN Sustainable Development Goals, CDP, GRI, EcoVadis, B Corps, Future-fit Business Benchmark, Transformational Company Benchmark, TCFD, Origin Green, Supply Chain Strategy</w:t>
            </w:r>
            <w:r w:rsidR="009E14F9">
              <w:t>.</w:t>
            </w:r>
          </w:p>
        </w:tc>
      </w:tr>
      <w:tr w:rsidR="002F6421" w:rsidRPr="002F6421" w14:paraId="6428957B" w14:textId="77777777" w:rsidTr="00AC5FC9">
        <w:trPr>
          <w:trHeight w:val="255"/>
        </w:trPr>
        <w:tc>
          <w:tcPr>
            <w:tcW w:w="9493" w:type="dxa"/>
            <w:hideMark/>
          </w:tcPr>
          <w:p w14:paraId="3D50E9DD" w14:textId="33958ECB" w:rsidR="002F6421" w:rsidRPr="002F6421" w:rsidRDefault="002F6421">
            <w:r w:rsidRPr="002F6421">
              <w:rPr>
                <w:b/>
                <w:bCs/>
              </w:rPr>
              <w:t>Eco-design</w:t>
            </w:r>
            <w:r w:rsidRPr="002F6421">
              <w:t>; training/mentoring in innovative design for sustainability e.g. designing a product from concept taking into account sustainability</w:t>
            </w:r>
            <w:r w:rsidR="00CD200B">
              <w:t>.</w:t>
            </w:r>
          </w:p>
        </w:tc>
      </w:tr>
      <w:tr w:rsidR="002F6421" w:rsidRPr="002F6421" w14:paraId="4C9EA62F" w14:textId="77777777" w:rsidTr="00AC5FC9">
        <w:trPr>
          <w:trHeight w:val="510"/>
        </w:trPr>
        <w:tc>
          <w:tcPr>
            <w:tcW w:w="9493" w:type="dxa"/>
            <w:hideMark/>
          </w:tcPr>
          <w:p w14:paraId="36B1588B" w14:textId="39D6563D" w:rsidR="002F6421" w:rsidRPr="002F6421" w:rsidRDefault="002F6421">
            <w:r w:rsidRPr="002F6421">
              <w:rPr>
                <w:b/>
                <w:bCs/>
              </w:rPr>
              <w:t>Employee &amp; Customer Engagement</w:t>
            </w:r>
            <w:r w:rsidRPr="002F6421">
              <w:t xml:space="preserve">; </w:t>
            </w:r>
            <w:r w:rsidR="001D67BE" w:rsidRPr="001D67BE">
              <w:t>training/mentoring to engage employees and customers, create an environmental awareness, and achieve long term sustainable behavioural change, designing effective employee engagement campaigns</w:t>
            </w:r>
          </w:p>
        </w:tc>
      </w:tr>
      <w:tr w:rsidR="002F6421" w:rsidRPr="002F6421" w14:paraId="7B47E60A" w14:textId="77777777" w:rsidTr="00AC5FC9">
        <w:trPr>
          <w:trHeight w:val="255"/>
        </w:trPr>
        <w:tc>
          <w:tcPr>
            <w:tcW w:w="9493" w:type="dxa"/>
            <w:hideMark/>
          </w:tcPr>
          <w:p w14:paraId="61830AF3" w14:textId="5E24980D" w:rsidR="002F6421" w:rsidRPr="002F6421" w:rsidRDefault="002F6421">
            <w:r w:rsidRPr="002F6421">
              <w:rPr>
                <w:b/>
                <w:bCs/>
              </w:rPr>
              <w:t>Energy Efficiency Design</w:t>
            </w:r>
            <w:r w:rsidR="0032384F">
              <w:rPr>
                <w:b/>
                <w:bCs/>
              </w:rPr>
              <w:t xml:space="preserve"> (EED)</w:t>
            </w:r>
            <w:r w:rsidRPr="002F6421">
              <w:t>; training/mentoring based on I.S. 399 or similar</w:t>
            </w:r>
            <w:r w:rsidR="00CD200B">
              <w:t>.</w:t>
            </w:r>
            <w:r w:rsidR="00FD21D5">
              <w:t xml:space="preserve"> If project </w:t>
            </w:r>
            <w:r w:rsidR="00473AFF" w:rsidRPr="00473AFF">
              <w:t xml:space="preserve">is primarily focussed on EED, company </w:t>
            </w:r>
            <w:r w:rsidR="00ED494D">
              <w:t xml:space="preserve">should apply </w:t>
            </w:r>
            <w:r w:rsidR="00473AFF" w:rsidRPr="00473AFF">
              <w:t>to SEAI (EXEED; Stage 1).</w:t>
            </w:r>
            <w:r w:rsidR="0032384F">
              <w:t xml:space="preserve"> </w:t>
            </w:r>
          </w:p>
        </w:tc>
      </w:tr>
      <w:tr w:rsidR="002F6421" w:rsidRPr="002F6421" w14:paraId="3E02D1B6" w14:textId="77777777" w:rsidTr="00AC5FC9">
        <w:trPr>
          <w:trHeight w:val="255"/>
        </w:trPr>
        <w:tc>
          <w:tcPr>
            <w:tcW w:w="9493" w:type="dxa"/>
            <w:hideMark/>
          </w:tcPr>
          <w:p w14:paraId="79CCB9DA" w14:textId="77777777" w:rsidR="002F6421" w:rsidRPr="002F6421" w:rsidRDefault="002F6421">
            <w:r w:rsidRPr="002F6421">
              <w:rPr>
                <w:b/>
                <w:bCs/>
              </w:rPr>
              <w:lastRenderedPageBreak/>
              <w:t>Energy Management Systems</w:t>
            </w:r>
            <w:r w:rsidRPr="002F6421">
              <w:t>; training/mentoring to implement ISO 50001 or similar energy performance management systems.</w:t>
            </w:r>
          </w:p>
        </w:tc>
      </w:tr>
      <w:tr w:rsidR="002F6421" w:rsidRPr="002F6421" w14:paraId="28DDF7DA" w14:textId="77777777" w:rsidTr="00AC5FC9">
        <w:trPr>
          <w:trHeight w:val="255"/>
        </w:trPr>
        <w:tc>
          <w:tcPr>
            <w:tcW w:w="9493" w:type="dxa"/>
            <w:hideMark/>
          </w:tcPr>
          <w:p w14:paraId="6F764FBD" w14:textId="77777777" w:rsidR="002F6421" w:rsidRPr="002F6421" w:rsidRDefault="002F6421">
            <w:r w:rsidRPr="002F6421">
              <w:rPr>
                <w:b/>
                <w:bCs/>
              </w:rPr>
              <w:t>Environmental Management Systems</w:t>
            </w:r>
            <w:r w:rsidRPr="002F6421">
              <w:t>; training to implement ISO 14001, EMAS or similar.</w:t>
            </w:r>
          </w:p>
        </w:tc>
      </w:tr>
      <w:tr w:rsidR="00A707BF" w:rsidRPr="002F6421" w14:paraId="3998CBDD" w14:textId="77777777" w:rsidTr="00AC5FC9">
        <w:trPr>
          <w:trHeight w:val="255"/>
        </w:trPr>
        <w:tc>
          <w:tcPr>
            <w:tcW w:w="9493" w:type="dxa"/>
          </w:tcPr>
          <w:p w14:paraId="4FCE54D2" w14:textId="653D4D72" w:rsidR="00A707BF" w:rsidRPr="002F6421" w:rsidRDefault="00A707BF">
            <w:pPr>
              <w:rPr>
                <w:b/>
                <w:bCs/>
              </w:rPr>
            </w:pPr>
            <w:r>
              <w:rPr>
                <w:b/>
                <w:bCs/>
              </w:rPr>
              <w:t>Green Procurement</w:t>
            </w:r>
            <w:r w:rsidR="00EE3145">
              <w:rPr>
                <w:b/>
                <w:bCs/>
              </w:rPr>
              <w:t xml:space="preserve">; </w:t>
            </w:r>
            <w:r w:rsidR="00D30823" w:rsidRPr="00D30823">
              <w:t>training/mentoring in Green Procurement, integrating environmental sustainability into the procurement process</w:t>
            </w:r>
            <w:r w:rsidR="00D95A4F">
              <w:t>.</w:t>
            </w:r>
            <w:r w:rsidR="007C2240">
              <w:t xml:space="preserve"> The </w:t>
            </w:r>
            <w:r w:rsidR="000D71A0">
              <w:t xml:space="preserve">Corporate Sustainability excel </w:t>
            </w:r>
            <w:r w:rsidR="007C2240">
              <w:t xml:space="preserve">sheet shows which </w:t>
            </w:r>
            <w:r w:rsidR="000D71A0">
              <w:t xml:space="preserve">service providers </w:t>
            </w:r>
            <w:r w:rsidR="007435D7">
              <w:t xml:space="preserve">provide advise &amp; guidance with the </w:t>
            </w:r>
            <w:r w:rsidR="00693FAE">
              <w:t>Sustainable Procurement Pledge</w:t>
            </w:r>
          </w:p>
        </w:tc>
      </w:tr>
      <w:tr w:rsidR="00D30823" w:rsidRPr="002F6421" w14:paraId="1D4CBD1A" w14:textId="77777777" w:rsidTr="00AC5FC9">
        <w:trPr>
          <w:trHeight w:val="255"/>
        </w:trPr>
        <w:tc>
          <w:tcPr>
            <w:tcW w:w="9493" w:type="dxa"/>
          </w:tcPr>
          <w:p w14:paraId="3450DD76" w14:textId="4F8CABFF" w:rsidR="00D30823" w:rsidRDefault="00D30823">
            <w:pPr>
              <w:rPr>
                <w:b/>
                <w:bCs/>
              </w:rPr>
            </w:pPr>
            <w:r>
              <w:rPr>
                <w:b/>
                <w:bCs/>
              </w:rPr>
              <w:t xml:space="preserve">Green Tenders; </w:t>
            </w:r>
            <w:r w:rsidR="006840C3" w:rsidRPr="006840C3">
              <w:t>training/mentoring in bidding for public and private tenders where sustainable procurement criteria are driving the buyer’s decision to purchase</w:t>
            </w:r>
            <w:r w:rsidR="006840C3">
              <w:t>.</w:t>
            </w:r>
          </w:p>
        </w:tc>
      </w:tr>
      <w:tr w:rsidR="00B5587B" w:rsidRPr="002F6421" w14:paraId="11D7191A" w14:textId="77777777" w:rsidTr="00AC5FC9">
        <w:trPr>
          <w:trHeight w:val="255"/>
        </w:trPr>
        <w:tc>
          <w:tcPr>
            <w:tcW w:w="9493" w:type="dxa"/>
          </w:tcPr>
          <w:p w14:paraId="158B08A3" w14:textId="29053DFF" w:rsidR="00B5587B" w:rsidRDefault="00B5587B">
            <w:pPr>
              <w:rPr>
                <w:b/>
                <w:bCs/>
              </w:rPr>
            </w:pPr>
            <w:r>
              <w:rPr>
                <w:b/>
                <w:bCs/>
              </w:rPr>
              <w:t xml:space="preserve">Green Hydrogen: </w:t>
            </w:r>
            <w:r w:rsidR="00B64B00" w:rsidRPr="00222212">
              <w:t>Guidance on the</w:t>
            </w:r>
            <w:r w:rsidR="00222212" w:rsidRPr="00222212">
              <w:t xml:space="preserve"> business case</w:t>
            </w:r>
            <w:r w:rsidR="00B64B00" w:rsidRPr="00222212">
              <w:t xml:space="preserve"> </w:t>
            </w:r>
            <w:r w:rsidR="00222212" w:rsidRPr="00222212">
              <w:t>(</w:t>
            </w:r>
            <w:r w:rsidR="00331AB9" w:rsidRPr="00222212">
              <w:t xml:space="preserve">technical and </w:t>
            </w:r>
            <w:r w:rsidR="00B64B00" w:rsidRPr="00222212">
              <w:t>economic</w:t>
            </w:r>
            <w:r w:rsidR="00222212" w:rsidRPr="00222212">
              <w:t>)</w:t>
            </w:r>
            <w:r w:rsidR="00B64B00" w:rsidRPr="00222212">
              <w:t xml:space="preserve"> for green hydrogen</w:t>
            </w:r>
            <w:r w:rsidR="00222212">
              <w:t xml:space="preserve"> as</w:t>
            </w:r>
            <w:r w:rsidR="003D70F5">
              <w:t xml:space="preserve"> a fuel, with zero emissions, for heavy industry and</w:t>
            </w:r>
            <w:r w:rsidR="005E0223">
              <w:t xml:space="preserve"> heavy good vehicl</w:t>
            </w:r>
            <w:r w:rsidR="0035314A">
              <w:t>e</w:t>
            </w:r>
            <w:r w:rsidR="003D70F5">
              <w:t xml:space="preserve"> transport</w:t>
            </w:r>
            <w:r w:rsidR="0035314A">
              <w:t xml:space="preserve"> (under Strategic </w:t>
            </w:r>
            <w:r w:rsidR="005E05DF">
              <w:t>Consultancy</w:t>
            </w:r>
            <w:r w:rsidR="0035314A">
              <w:t>)</w:t>
            </w:r>
            <w:r w:rsidR="0069575A">
              <w:t>.</w:t>
            </w:r>
          </w:p>
        </w:tc>
      </w:tr>
      <w:tr w:rsidR="002F6421" w:rsidRPr="002F6421" w14:paraId="5C95B132" w14:textId="77777777" w:rsidTr="00AC5FC9">
        <w:trPr>
          <w:trHeight w:val="765"/>
        </w:trPr>
        <w:tc>
          <w:tcPr>
            <w:tcW w:w="9493" w:type="dxa"/>
            <w:hideMark/>
          </w:tcPr>
          <w:p w14:paraId="5F806AFF" w14:textId="41F91D8C" w:rsidR="002F6421" w:rsidRPr="002F6421" w:rsidRDefault="002F6421">
            <w:r w:rsidRPr="002F6421">
              <w:rPr>
                <w:b/>
                <w:bCs/>
              </w:rPr>
              <w:t>Life Cycle Assessment - Environmental Product Declaration</w:t>
            </w:r>
            <w:r w:rsidRPr="002F6421">
              <w:t>; training/mentoring on the use of a LCA environmental footprinting tool, how to interpret and use the results and generate an Environmental Product Declaration, conforming to ISO 14025 (Environmental Labels), I.S. EN 15804 (Environmental Product Declarations), and ISOs 14040 &amp; 14044 (Life Cycle Assessment)</w:t>
            </w:r>
            <w:r w:rsidR="00CD200B">
              <w:t>.</w:t>
            </w:r>
          </w:p>
        </w:tc>
      </w:tr>
      <w:tr w:rsidR="002F6421" w:rsidRPr="002F6421" w14:paraId="7E3BC774" w14:textId="77777777" w:rsidTr="00AC5FC9">
        <w:trPr>
          <w:trHeight w:val="765"/>
        </w:trPr>
        <w:tc>
          <w:tcPr>
            <w:tcW w:w="9493" w:type="dxa"/>
            <w:hideMark/>
          </w:tcPr>
          <w:p w14:paraId="3A4EDB31" w14:textId="77777777" w:rsidR="002F6421" w:rsidRPr="002F6421" w:rsidRDefault="002F6421">
            <w:r w:rsidRPr="002F6421">
              <w:rPr>
                <w:b/>
                <w:bCs/>
              </w:rPr>
              <w:t>Life Cycle Assessment - Product Environmental Footprint (PEF)</w:t>
            </w:r>
            <w:r w:rsidRPr="002F6421">
              <w:t>; training/mentoring on the use of an LCA environmental footprinting tool to provide Product Environmental Footprints, using the results to identify environmental hotspots, understanding the Scope 1, 2 and 3 environmental impacts of energies, resources and materials used in the products, to ISOs 14040 and14044.</w:t>
            </w:r>
          </w:p>
        </w:tc>
      </w:tr>
      <w:tr w:rsidR="002F6421" w:rsidRPr="002F6421" w14:paraId="4991890F" w14:textId="77777777" w:rsidTr="00AC5FC9">
        <w:trPr>
          <w:trHeight w:val="765"/>
        </w:trPr>
        <w:tc>
          <w:tcPr>
            <w:tcW w:w="9493" w:type="dxa"/>
            <w:hideMark/>
          </w:tcPr>
          <w:p w14:paraId="1F278121" w14:textId="7C0577AB" w:rsidR="002F6421" w:rsidRPr="002F6421" w:rsidRDefault="002F6421">
            <w:bookmarkStart w:id="8" w:name="OLE_LINK18"/>
            <w:bookmarkStart w:id="9" w:name="OLE_LINK20"/>
            <w:bookmarkStart w:id="10" w:name="OLE_LINK21"/>
            <w:bookmarkStart w:id="11" w:name="OLE_LINK24"/>
            <w:bookmarkStart w:id="12" w:name="OLE_LINK25"/>
            <w:r w:rsidRPr="002F6421">
              <w:rPr>
                <w:b/>
                <w:bCs/>
              </w:rPr>
              <w:t>Life Cycle Assessment - Organisation</w:t>
            </w:r>
            <w:r w:rsidR="005B7F0B">
              <w:rPr>
                <w:b/>
                <w:bCs/>
              </w:rPr>
              <w:t>al</w:t>
            </w:r>
            <w:r w:rsidRPr="002F6421">
              <w:rPr>
                <w:b/>
                <w:bCs/>
              </w:rPr>
              <w:t xml:space="preserve"> Environmental Footprint (OEF)</w:t>
            </w:r>
            <w:r w:rsidRPr="002F6421">
              <w:t>; training/mentoring on the use of an LCA environmental footprinting tool to provide an Organisation Environmental Footprint, using the results to identify environmental hotspots, understanding the environmental impacts of energies, resources and materials used by the organisation, to ISOs 14040 and 14044.</w:t>
            </w:r>
          </w:p>
        </w:tc>
      </w:tr>
      <w:tr w:rsidR="001025A4" w:rsidRPr="002F6421" w14:paraId="01C50624" w14:textId="77777777" w:rsidTr="00AC5FC9">
        <w:trPr>
          <w:trHeight w:val="765"/>
        </w:trPr>
        <w:tc>
          <w:tcPr>
            <w:tcW w:w="9493" w:type="dxa"/>
          </w:tcPr>
          <w:p w14:paraId="4CC37750" w14:textId="6A50C2F1" w:rsidR="001025A4" w:rsidRPr="00903DE0" w:rsidRDefault="00AA5422">
            <w:pPr>
              <w:rPr>
                <w:rFonts w:ascii="Calibri" w:eastAsia="Calibri" w:hAnsi="Calibri" w:cs="Times New Roman"/>
                <w:i/>
                <w:iCs/>
                <w:sz w:val="18"/>
                <w:szCs w:val="18"/>
                <w:lang w:val="en-IE"/>
              </w:rPr>
            </w:pPr>
            <w:r w:rsidRPr="00AA5422">
              <w:rPr>
                <w:rFonts w:ascii="Calibri" w:eastAsia="Calibri" w:hAnsi="Calibri" w:cs="Times New Roman"/>
                <w:b/>
                <w:bCs/>
                <w:lang w:val="en-IE"/>
              </w:rPr>
              <w:t>Metering</w:t>
            </w:r>
            <w:r w:rsidR="00C364C7" w:rsidRPr="00C364C7">
              <w:rPr>
                <w:rFonts w:ascii="Calibri" w:eastAsia="Calibri" w:hAnsi="Calibri" w:cs="Times New Roman"/>
                <w:b/>
                <w:bCs/>
                <w:lang w:val="en-IE"/>
              </w:rPr>
              <w:t>;</w:t>
            </w:r>
            <w:r w:rsidR="00C364C7">
              <w:rPr>
                <w:rFonts w:ascii="Calibri" w:eastAsia="Calibri" w:hAnsi="Calibri" w:cs="Times New Roman"/>
                <w:lang w:val="en-IE"/>
              </w:rPr>
              <w:t xml:space="preserve"> </w:t>
            </w:r>
            <w:r w:rsidRPr="00AA5422">
              <w:rPr>
                <w:rFonts w:ascii="Calibri" w:eastAsia="Calibri" w:hAnsi="Calibri" w:cs="Times New Roman"/>
                <w:lang w:val="en-IE"/>
              </w:rPr>
              <w:t>Guidance to identify metering opportunities (e.g. energy, gas, diesel, oil, water and steam), prepare metering gap analysis, develop metering roadmap, training on data interpretation.  It is expected that metering equipment will be installed on a temporary/permanent basis as part of the project</w:t>
            </w:r>
            <w:r w:rsidRPr="00AA5422">
              <w:rPr>
                <w:rFonts w:ascii="Calibri" w:eastAsia="Calibri" w:hAnsi="Calibri" w:cs="Times New Roman"/>
                <w:i/>
                <w:iCs/>
                <w:sz w:val="18"/>
                <w:szCs w:val="18"/>
                <w:lang w:val="en-IE"/>
              </w:rPr>
              <w:t>.</w:t>
            </w:r>
          </w:p>
        </w:tc>
      </w:tr>
      <w:tr w:rsidR="001025A4" w:rsidRPr="002F6421" w14:paraId="649AF45B" w14:textId="77777777" w:rsidTr="00AC5FC9">
        <w:trPr>
          <w:trHeight w:val="765"/>
        </w:trPr>
        <w:tc>
          <w:tcPr>
            <w:tcW w:w="9493" w:type="dxa"/>
          </w:tcPr>
          <w:p w14:paraId="74F13569" w14:textId="38C3F76C" w:rsidR="001025A4" w:rsidRPr="00903DE0" w:rsidRDefault="00903DE0">
            <w:pPr>
              <w:rPr>
                <w:rFonts w:ascii="Calibri" w:eastAsia="Calibri" w:hAnsi="Calibri" w:cs="Times New Roman"/>
                <w:lang w:val="en-IE"/>
              </w:rPr>
            </w:pPr>
            <w:r w:rsidRPr="00903DE0">
              <w:rPr>
                <w:rFonts w:ascii="Calibri" w:eastAsia="Calibri" w:hAnsi="Calibri" w:cs="Times New Roman"/>
                <w:b/>
                <w:bCs/>
                <w:lang w:val="en-IE"/>
              </w:rPr>
              <w:t>Plastic Management;</w:t>
            </w:r>
            <w:r>
              <w:rPr>
                <w:rFonts w:ascii="Calibri" w:eastAsia="Calibri" w:hAnsi="Calibri" w:cs="Times New Roman"/>
                <w:lang w:val="en-IE"/>
              </w:rPr>
              <w:t xml:space="preserve"> </w:t>
            </w:r>
            <w:r w:rsidRPr="00903DE0">
              <w:rPr>
                <w:rFonts w:ascii="Calibri" w:eastAsia="Calibri" w:hAnsi="Calibri" w:cs="Times New Roman"/>
                <w:lang w:val="en-IE"/>
              </w:rPr>
              <w:t>training/guidance to develop plastic improvement roadmap. Implement a plastic indexing tool to map and track the types, quantities and fates of each type of plastic encountered . Establish the baseline and key metrics for measuring performance overtime</w:t>
            </w:r>
          </w:p>
        </w:tc>
      </w:tr>
      <w:tr w:rsidR="002F6421" w:rsidRPr="002F6421" w14:paraId="65567A61" w14:textId="77777777" w:rsidTr="00AC5FC9">
        <w:trPr>
          <w:trHeight w:val="510"/>
        </w:trPr>
        <w:tc>
          <w:tcPr>
            <w:tcW w:w="9493" w:type="dxa"/>
            <w:hideMark/>
          </w:tcPr>
          <w:p w14:paraId="68A6E2C4" w14:textId="78FA0DC3" w:rsidR="002F6421" w:rsidRPr="002F6421" w:rsidRDefault="002F6421">
            <w:r w:rsidRPr="002F6421">
              <w:rPr>
                <w:b/>
                <w:bCs/>
              </w:rPr>
              <w:t>Sustainable Logistics;</w:t>
            </w:r>
            <w:r w:rsidRPr="002F6421">
              <w:t xml:space="preserve"> training/mentoring to </w:t>
            </w:r>
            <w:r w:rsidR="0069106F">
              <w:t xml:space="preserve">measurably </w:t>
            </w:r>
            <w:r w:rsidRPr="002F6421">
              <w:t>reduce greenhouse gas emissions and air pollutants &amp; improve fuel efficiency</w:t>
            </w:r>
            <w:r w:rsidR="00541C77">
              <w:t xml:space="preserve"> based on GLEC Framework or similar</w:t>
            </w:r>
            <w:r w:rsidRPr="002F6421">
              <w:t>. Scope</w:t>
            </w:r>
            <w:r w:rsidR="00CD200B">
              <w:t xml:space="preserve"> may</w:t>
            </w:r>
            <w:r w:rsidRPr="002F6421">
              <w:t xml:space="preserve"> include all modes (road, rail, sea, air), sub-suppliers, city and reverse logistics, and their internal and external impacts</w:t>
            </w:r>
            <w:r w:rsidR="00CD200B">
              <w:t>.</w:t>
            </w:r>
          </w:p>
        </w:tc>
      </w:tr>
      <w:tr w:rsidR="002F6421" w:rsidRPr="002F6421" w14:paraId="127562A7" w14:textId="77777777" w:rsidTr="00AC5FC9">
        <w:trPr>
          <w:trHeight w:val="255"/>
        </w:trPr>
        <w:tc>
          <w:tcPr>
            <w:tcW w:w="9493" w:type="dxa"/>
            <w:hideMark/>
          </w:tcPr>
          <w:p w14:paraId="39BFE9B4" w14:textId="5E4DBA5C" w:rsidR="002F6421" w:rsidRPr="002F6421" w:rsidRDefault="002F6421">
            <w:r w:rsidRPr="002F6421">
              <w:rPr>
                <w:b/>
                <w:bCs/>
              </w:rPr>
              <w:t>Sustainable Packaging;</w:t>
            </w:r>
            <w:r w:rsidRPr="002F6421">
              <w:t xml:space="preserve"> training/mentoring in a sustainable, responsible and circular manner of the entire packaging system</w:t>
            </w:r>
            <w:r w:rsidR="00CD200B">
              <w:t>.</w:t>
            </w:r>
          </w:p>
        </w:tc>
      </w:tr>
      <w:tr w:rsidR="002F6421" w:rsidRPr="002F6421" w14:paraId="2D88E999" w14:textId="77777777" w:rsidTr="00AC5FC9">
        <w:trPr>
          <w:trHeight w:val="270"/>
        </w:trPr>
        <w:tc>
          <w:tcPr>
            <w:tcW w:w="9493" w:type="dxa"/>
            <w:hideMark/>
          </w:tcPr>
          <w:p w14:paraId="1F2D725C" w14:textId="3B62A4AB" w:rsidR="002F6421" w:rsidRPr="002F6421" w:rsidRDefault="002F6421">
            <w:r w:rsidRPr="002F6421">
              <w:rPr>
                <w:b/>
                <w:bCs/>
              </w:rPr>
              <w:t>Water Stewardship</w:t>
            </w:r>
            <w:r w:rsidRPr="002F6421">
              <w:t>; training to implement European Water Stewardship Standard (EWS), Alliance for Water Stewardship Standard (AWS)</w:t>
            </w:r>
            <w:r w:rsidR="00201257">
              <w:t xml:space="preserve">, ISO </w:t>
            </w:r>
            <w:r w:rsidR="00060448">
              <w:t>46001</w:t>
            </w:r>
            <w:r w:rsidRPr="002F6421">
              <w:t xml:space="preserve"> or similar.</w:t>
            </w:r>
          </w:p>
        </w:tc>
      </w:tr>
      <w:tr w:rsidR="002F6421" w:rsidRPr="002F6421" w14:paraId="6E4A8985" w14:textId="77777777" w:rsidTr="00AC5FC9">
        <w:trPr>
          <w:trHeight w:val="319"/>
        </w:trPr>
        <w:tc>
          <w:tcPr>
            <w:tcW w:w="9493" w:type="dxa"/>
            <w:hideMark/>
          </w:tcPr>
          <w:p w14:paraId="24AFB48D" w14:textId="1A8E0EB5" w:rsidR="00121FCD" w:rsidRDefault="00602A87" w:rsidP="00121FCD">
            <w:r w:rsidRPr="00A1210C">
              <w:rPr>
                <w:b/>
                <w:bCs/>
              </w:rPr>
              <w:t>Renewable Energy Assessment;</w:t>
            </w:r>
            <w:r w:rsidR="00121FCD">
              <w:t xml:space="preserve"> </w:t>
            </w:r>
            <w:r w:rsidR="00A811C0">
              <w:t>B</w:t>
            </w:r>
            <w:r w:rsidR="00121FCD">
              <w:t>usiness and site(s) energy usage</w:t>
            </w:r>
            <w:r w:rsidR="00A811C0">
              <w:t xml:space="preserve"> assesses</w:t>
            </w:r>
            <w:r w:rsidR="00121FCD">
              <w:t xml:space="preserve"> and the most appropriate renewable energy system(s) for the business</w:t>
            </w:r>
            <w:r w:rsidR="00A811C0">
              <w:t xml:space="preserve"> recommended</w:t>
            </w:r>
            <w:r w:rsidR="00121FCD">
              <w:t xml:space="preserve">. All renewable energy technologies can be considered, including solar panels, heat pumps, biomass boilers, combined heat and power plants. </w:t>
            </w:r>
          </w:p>
          <w:p w14:paraId="78765291" w14:textId="38131C20" w:rsidR="002F6421" w:rsidRPr="002F6421" w:rsidRDefault="0034300D" w:rsidP="00121FCD">
            <w:r>
              <w:t>I</w:t>
            </w:r>
            <w:r w:rsidR="00121FCD">
              <w:t>nformation</w:t>
            </w:r>
            <w:r>
              <w:t xml:space="preserve"> provided</w:t>
            </w:r>
            <w:r w:rsidR="00121FCD">
              <w:t xml:space="preserve"> on cost &amp; payback of opportunities identified.</w:t>
            </w:r>
          </w:p>
        </w:tc>
      </w:tr>
      <w:tr w:rsidR="00602A87" w:rsidRPr="002F6421" w14:paraId="32810739" w14:textId="77777777" w:rsidTr="00AC5FC9">
        <w:trPr>
          <w:trHeight w:val="319"/>
        </w:trPr>
        <w:tc>
          <w:tcPr>
            <w:tcW w:w="9493" w:type="dxa"/>
          </w:tcPr>
          <w:p w14:paraId="4D1F23AC" w14:textId="28555BAE" w:rsidR="00A6033B" w:rsidRDefault="00DD7493" w:rsidP="00A6033B">
            <w:r w:rsidRPr="00BA388E">
              <w:rPr>
                <w:b/>
                <w:bCs/>
              </w:rPr>
              <w:t>Resource Efficiency Assessment</w:t>
            </w:r>
            <w:r>
              <w:t>;</w:t>
            </w:r>
            <w:r w:rsidR="00A6033B">
              <w:t xml:space="preserve"> </w:t>
            </w:r>
            <w:r w:rsidR="00AD6843">
              <w:t>R</w:t>
            </w:r>
            <w:r w:rsidR="00A6033B">
              <w:t>esource, emissions and cost savings opportunities</w:t>
            </w:r>
            <w:r w:rsidR="00AD6843">
              <w:t xml:space="preserve"> identified.</w:t>
            </w:r>
          </w:p>
          <w:p w14:paraId="3EA86629" w14:textId="3731DE60" w:rsidR="00A6033B" w:rsidRDefault="00A6033B" w:rsidP="00A6033B">
            <w:r>
              <w:t>Resources include energy, water</w:t>
            </w:r>
            <w:r w:rsidR="00E12D21">
              <w:t xml:space="preserve"> and</w:t>
            </w:r>
            <w:r>
              <w:t xml:space="preserve"> materials. Examples of energy include energy use for heating, lighting, operating equipment, refrigeration, transport. </w:t>
            </w:r>
          </w:p>
          <w:p w14:paraId="5D640337" w14:textId="619AFCD3" w:rsidR="00A6033B" w:rsidRDefault="00A6033B" w:rsidP="00A6033B">
            <w:r>
              <w:t xml:space="preserve">Opportunities include capital projects, feasibility studies, procedural changes, process changes, awareness initiatives, management initiatives and staff training. </w:t>
            </w:r>
          </w:p>
          <w:p w14:paraId="0EAD4646" w14:textId="77777777" w:rsidR="00602A87" w:rsidRDefault="0034300D" w:rsidP="00A6033B">
            <w:r>
              <w:t>I</w:t>
            </w:r>
            <w:r w:rsidR="00A6033B">
              <w:t>nformation</w:t>
            </w:r>
            <w:r>
              <w:t xml:space="preserve"> provided</w:t>
            </w:r>
            <w:r w:rsidR="00A6033B">
              <w:t xml:space="preserve"> on cost &amp; payback of opportunities identified.</w:t>
            </w:r>
          </w:p>
          <w:p w14:paraId="7A6291D1" w14:textId="5A47C715" w:rsidR="0000475F" w:rsidRPr="002F6421" w:rsidRDefault="0000475F" w:rsidP="00A6033B"/>
        </w:tc>
      </w:tr>
      <w:tr w:rsidR="00AF3DD3" w:rsidRPr="002F6421" w14:paraId="145E8A0D" w14:textId="77777777" w:rsidTr="00AC5FC9">
        <w:trPr>
          <w:trHeight w:val="319"/>
        </w:trPr>
        <w:tc>
          <w:tcPr>
            <w:tcW w:w="9493" w:type="dxa"/>
          </w:tcPr>
          <w:p w14:paraId="2C56AE04" w14:textId="77777777" w:rsidR="00AF3DD3" w:rsidRPr="00BA388E" w:rsidRDefault="00AF3DD3" w:rsidP="00A6033B">
            <w:pPr>
              <w:rPr>
                <w:b/>
                <w:bCs/>
              </w:rPr>
            </w:pPr>
          </w:p>
        </w:tc>
      </w:tr>
      <w:tr w:rsidR="001A0756" w:rsidRPr="002F6421" w14:paraId="5E894D75" w14:textId="77777777" w:rsidTr="00AC5FC9">
        <w:trPr>
          <w:trHeight w:val="319"/>
        </w:trPr>
        <w:tc>
          <w:tcPr>
            <w:tcW w:w="9493" w:type="dxa"/>
          </w:tcPr>
          <w:p w14:paraId="2C5546C9" w14:textId="3D683183" w:rsidR="001A0756" w:rsidRPr="009A0F04" w:rsidRDefault="001A0756" w:rsidP="009A0F04">
            <w:pPr>
              <w:pStyle w:val="Heading2"/>
            </w:pPr>
            <w:r w:rsidRPr="009A0F04">
              <w:t>Ineligible Activit</w:t>
            </w:r>
            <w:r w:rsidR="009A0F04" w:rsidRPr="009A0F04">
              <w:t>ies</w:t>
            </w:r>
          </w:p>
        </w:tc>
      </w:tr>
      <w:tr w:rsidR="008D14BA" w:rsidRPr="002F6421" w14:paraId="22E888D5" w14:textId="77777777" w:rsidTr="00AC5FC9">
        <w:trPr>
          <w:trHeight w:val="319"/>
        </w:trPr>
        <w:tc>
          <w:tcPr>
            <w:tcW w:w="9493" w:type="dxa"/>
          </w:tcPr>
          <w:p w14:paraId="34C56CE4" w14:textId="6ACB4B98" w:rsidR="008D14BA" w:rsidRDefault="00732E97" w:rsidP="009A0F04">
            <w:pPr>
              <w:pStyle w:val="Heading2"/>
              <w:rPr>
                <w:rFonts w:asciiTheme="minorHAnsi" w:hAnsiTheme="minorHAnsi" w:cstheme="minorHAnsi"/>
                <w:color w:val="auto"/>
                <w:sz w:val="22"/>
                <w:szCs w:val="22"/>
              </w:rPr>
            </w:pPr>
            <w:r>
              <w:rPr>
                <w:rFonts w:asciiTheme="minorHAnsi" w:hAnsiTheme="minorHAnsi" w:cstheme="minorHAnsi"/>
                <w:color w:val="auto"/>
                <w:sz w:val="22"/>
                <w:szCs w:val="22"/>
              </w:rPr>
              <w:t xml:space="preserve">Technical Feasibility Studies, </w:t>
            </w:r>
            <w:r w:rsidR="005C48A8" w:rsidRPr="005C48A8">
              <w:rPr>
                <w:rFonts w:asciiTheme="minorHAnsi" w:hAnsiTheme="minorHAnsi" w:cstheme="minorHAnsi"/>
                <w:color w:val="auto"/>
                <w:sz w:val="22"/>
                <w:szCs w:val="22"/>
              </w:rPr>
              <w:t>General Consultancy including Market research, IT implementation e.g. installation and customisation of analytic platforms, Financial review and planning, HR consulting or Health and Safety training</w:t>
            </w:r>
            <w:r w:rsidR="00673419">
              <w:rPr>
                <w:rFonts w:asciiTheme="minorHAnsi" w:hAnsiTheme="minorHAnsi" w:cstheme="minorHAnsi"/>
                <w:color w:val="auto"/>
                <w:sz w:val="22"/>
                <w:szCs w:val="22"/>
              </w:rPr>
              <w:t>.</w:t>
            </w:r>
          </w:p>
          <w:p w14:paraId="388A084F" w14:textId="77777777" w:rsidR="00243212" w:rsidRPr="00243212" w:rsidRDefault="00243212" w:rsidP="00243212"/>
          <w:p w14:paraId="541774CC" w14:textId="27379587" w:rsidR="005C48A8" w:rsidRPr="005C48A8" w:rsidRDefault="00243212" w:rsidP="005C48A8">
            <w:r w:rsidRPr="00243212">
              <w:t>Energy audits by companies already required to carry out an energy audit under the Energy Efficiency Directive</w:t>
            </w:r>
            <w:r w:rsidR="00673419">
              <w:t>.</w:t>
            </w:r>
          </w:p>
        </w:tc>
      </w:tr>
      <w:bookmarkEnd w:id="1"/>
      <w:tr w:rsidR="00A05288" w:rsidRPr="002F6421" w14:paraId="222D1160" w14:textId="77777777" w:rsidTr="00AC5FC9">
        <w:trPr>
          <w:trHeight w:val="319"/>
        </w:trPr>
        <w:tc>
          <w:tcPr>
            <w:tcW w:w="9493" w:type="dxa"/>
          </w:tcPr>
          <w:p w14:paraId="76F14D3D" w14:textId="77777777" w:rsidR="00A05288" w:rsidRPr="005C48A8" w:rsidRDefault="00A05288" w:rsidP="009A0F04">
            <w:pPr>
              <w:pStyle w:val="Heading2"/>
              <w:rPr>
                <w:rFonts w:asciiTheme="minorHAnsi" w:hAnsiTheme="minorHAnsi" w:cstheme="minorHAnsi"/>
                <w:color w:val="auto"/>
                <w:sz w:val="22"/>
                <w:szCs w:val="22"/>
              </w:rPr>
            </w:pPr>
          </w:p>
        </w:tc>
      </w:tr>
      <w:tr w:rsidR="00AF3DD3" w:rsidRPr="002F6421" w14:paraId="5DCB7D83" w14:textId="77777777" w:rsidTr="00AC5FC9">
        <w:trPr>
          <w:trHeight w:val="319"/>
        </w:trPr>
        <w:tc>
          <w:tcPr>
            <w:tcW w:w="9493" w:type="dxa"/>
          </w:tcPr>
          <w:p w14:paraId="5C665B5A" w14:textId="59DF306D" w:rsidR="00AF3DD3" w:rsidRPr="00BA388E" w:rsidRDefault="00CE46D2" w:rsidP="00CE46D2">
            <w:pPr>
              <w:pStyle w:val="Heading2"/>
            </w:pPr>
            <w:r>
              <w:t xml:space="preserve">Corporate Sustainable Strategy (Sheet </w:t>
            </w:r>
            <w:r w:rsidR="001B108F">
              <w:t>2</w:t>
            </w:r>
            <w:r>
              <w:t>)</w:t>
            </w:r>
          </w:p>
        </w:tc>
      </w:tr>
      <w:tr w:rsidR="00AF3DD3" w:rsidRPr="002F6421" w14:paraId="4DC88029" w14:textId="77777777" w:rsidTr="00AC5FC9">
        <w:trPr>
          <w:trHeight w:val="319"/>
        </w:trPr>
        <w:tc>
          <w:tcPr>
            <w:tcW w:w="9493" w:type="dxa"/>
          </w:tcPr>
          <w:p w14:paraId="6AB8C773" w14:textId="4B0EC550" w:rsidR="00AF3DD3" w:rsidRPr="00A3785D" w:rsidRDefault="00404954" w:rsidP="00A6033B">
            <w:r>
              <w:t>Training</w:t>
            </w:r>
            <w:r w:rsidR="003A0185">
              <w:t xml:space="preserve">/mentoring/advice on </w:t>
            </w:r>
            <w:r w:rsidRPr="00404954">
              <w:t>aligning to global &amp; national sustainability frameworks, pledges, disclosure systems and certifications</w:t>
            </w:r>
            <w:r w:rsidR="003A0185">
              <w:t>; e.g.</w:t>
            </w:r>
            <w:r w:rsidR="00BC2C16" w:rsidRPr="00076F80">
              <w:rPr>
                <w:rFonts w:eastAsia="Calibri"/>
                <w:i/>
                <w:iCs/>
              </w:rPr>
              <w:t xml:space="preserve"> </w:t>
            </w:r>
            <w:r w:rsidR="00BC2C16" w:rsidRPr="00BC2C16">
              <w:rPr>
                <w:rFonts w:eastAsia="Calibri"/>
              </w:rPr>
              <w:t>Science Based Target Initiative, SME Climate Hub, PAS 2060 Carbon Neutral, RE 100, UN Sustainable Development Goals, CDP, GRI, EcoVadis, B Corps, Future-fit Business Benchmark, Transformational Company Benchmark, TCFD,</w:t>
            </w:r>
            <w:r w:rsidR="0000475F">
              <w:rPr>
                <w:rFonts w:eastAsia="Calibri"/>
              </w:rPr>
              <w:t xml:space="preserve"> TNFD,</w:t>
            </w:r>
            <w:r w:rsidR="00BC2C16" w:rsidRPr="00BC2C16">
              <w:rPr>
                <w:rFonts w:eastAsia="Calibri"/>
              </w:rPr>
              <w:t xml:space="preserve"> Origin Green, Supply Chain Strategy</w:t>
            </w:r>
            <w:r w:rsidR="00117635" w:rsidRPr="00BC2C16">
              <w:t xml:space="preserve">. </w:t>
            </w:r>
            <w:r w:rsidR="00117635">
              <w:t xml:space="preserve">Note this </w:t>
            </w:r>
            <w:r w:rsidR="00254BEC">
              <w:t xml:space="preserve">list </w:t>
            </w:r>
            <w:r w:rsidR="00117635">
              <w:t>is</w:t>
            </w:r>
            <w:r w:rsidR="003A0185">
              <w:t xml:space="preserve"> not exhaustive</w:t>
            </w:r>
            <w:r w:rsidR="004E3E0B">
              <w:t>.</w:t>
            </w:r>
          </w:p>
        </w:tc>
      </w:tr>
      <w:tr w:rsidR="00F50EB2" w:rsidRPr="002F6421" w14:paraId="16C6E6B6" w14:textId="77777777" w:rsidTr="00AC5FC9">
        <w:trPr>
          <w:trHeight w:val="319"/>
        </w:trPr>
        <w:tc>
          <w:tcPr>
            <w:tcW w:w="9493" w:type="dxa"/>
          </w:tcPr>
          <w:p w14:paraId="7386D5D9" w14:textId="77777777" w:rsidR="00F50EB2" w:rsidRPr="00BA388E" w:rsidRDefault="00F50EB2" w:rsidP="00A6033B">
            <w:pPr>
              <w:rPr>
                <w:b/>
                <w:bCs/>
              </w:rPr>
            </w:pPr>
          </w:p>
        </w:tc>
      </w:tr>
      <w:tr w:rsidR="00CE46D2" w:rsidRPr="002F6421" w14:paraId="56A293F6" w14:textId="77777777" w:rsidTr="00AC5FC9">
        <w:trPr>
          <w:trHeight w:val="319"/>
        </w:trPr>
        <w:tc>
          <w:tcPr>
            <w:tcW w:w="9493" w:type="dxa"/>
          </w:tcPr>
          <w:p w14:paraId="2AA9FED9" w14:textId="254B5971" w:rsidR="00CE46D2" w:rsidRPr="00BA388E" w:rsidRDefault="003E0F68" w:rsidP="00F50EB2">
            <w:pPr>
              <w:pStyle w:val="Heading2"/>
            </w:pPr>
            <w:bookmarkStart w:id="13" w:name="OLE_LINK3"/>
            <w:r>
              <w:t xml:space="preserve">Sustainability &amp; </w:t>
            </w:r>
            <w:r w:rsidR="00F50EB2">
              <w:t xml:space="preserve">Analytics Platforms (Sheet </w:t>
            </w:r>
            <w:r w:rsidR="001B108F">
              <w:t>3</w:t>
            </w:r>
            <w:r w:rsidR="00F50EB2">
              <w:t>)</w:t>
            </w:r>
          </w:p>
        </w:tc>
      </w:tr>
      <w:tr w:rsidR="00CE46D2" w:rsidRPr="002F6421" w14:paraId="024AF5BF" w14:textId="77777777" w:rsidTr="00AC5FC9">
        <w:trPr>
          <w:trHeight w:val="319"/>
        </w:trPr>
        <w:tc>
          <w:tcPr>
            <w:tcW w:w="9493" w:type="dxa"/>
          </w:tcPr>
          <w:p w14:paraId="770EC3BB" w14:textId="49944815" w:rsidR="00207F3A" w:rsidRPr="00F50EB2" w:rsidRDefault="00911C32" w:rsidP="00207F3A">
            <w:r>
              <w:t xml:space="preserve">Analytics Platforms: </w:t>
            </w:r>
            <w:r w:rsidR="00F50EB2" w:rsidRPr="00C95B51">
              <w:t xml:space="preserve">Training/mentoring to achieve resource and emission savings using Operational Intelligence, e.g. </w:t>
            </w:r>
            <w:r w:rsidR="00207F3A" w:rsidRPr="00207F3A">
              <w:t>tracking energy, carbon, gas, temperature, humidity, air quality, light levels, motion, water, waste, or a platform supporting circular economy, sustainability engagement, sustainable growth, ESG goals, supply chain engagement &amp; alignment to Frameworks</w:t>
            </w:r>
            <w:r w:rsidR="00207F3A">
              <w:t>.</w:t>
            </w:r>
          </w:p>
          <w:p w14:paraId="1818964E" w14:textId="47156831" w:rsidR="00911C32" w:rsidRPr="00F50EB2" w:rsidRDefault="00911C32" w:rsidP="00A6033B"/>
        </w:tc>
      </w:tr>
      <w:tr w:rsidR="004B2793" w:rsidRPr="002F6421" w14:paraId="0DD524CE" w14:textId="77777777" w:rsidTr="00AC5FC9">
        <w:trPr>
          <w:trHeight w:val="319"/>
        </w:trPr>
        <w:tc>
          <w:tcPr>
            <w:tcW w:w="9493" w:type="dxa"/>
          </w:tcPr>
          <w:p w14:paraId="67B109E3" w14:textId="5FEB99A4" w:rsidR="004B2793" w:rsidRDefault="004B2793" w:rsidP="00A6033B">
            <w:r>
              <w:t xml:space="preserve">Note: </w:t>
            </w:r>
            <w:r w:rsidRPr="004B2793">
              <w:t>The green offer</w:t>
            </w:r>
            <w:r w:rsidR="00E5615F">
              <w:t>/climate planning fund for business</w:t>
            </w:r>
            <w:r w:rsidRPr="004B2793">
              <w:t xml:space="preserve"> supports training, it does not support IT implementation projects, i.e. installation and customisation of new systems.</w:t>
            </w:r>
          </w:p>
        </w:tc>
      </w:tr>
      <w:tr w:rsidR="00F50EB2" w:rsidRPr="002F6421" w14:paraId="43B595E9" w14:textId="77777777" w:rsidTr="00AC5FC9">
        <w:trPr>
          <w:trHeight w:val="319"/>
        </w:trPr>
        <w:tc>
          <w:tcPr>
            <w:tcW w:w="9493" w:type="dxa"/>
          </w:tcPr>
          <w:p w14:paraId="2D58D379" w14:textId="77777777" w:rsidR="00F50EB2" w:rsidRDefault="00F50EB2" w:rsidP="00A6033B"/>
        </w:tc>
      </w:tr>
      <w:tr w:rsidR="002F6421" w:rsidRPr="002F6421" w14:paraId="306083B4" w14:textId="77777777" w:rsidTr="00AC5FC9">
        <w:trPr>
          <w:trHeight w:val="360"/>
        </w:trPr>
        <w:tc>
          <w:tcPr>
            <w:tcW w:w="9493" w:type="dxa"/>
            <w:noWrap/>
            <w:hideMark/>
          </w:tcPr>
          <w:p w14:paraId="3C8AB578" w14:textId="77777777" w:rsidR="002F6421" w:rsidRPr="002F6421" w:rsidRDefault="002F6421" w:rsidP="00912C58">
            <w:pPr>
              <w:pStyle w:val="Heading2"/>
            </w:pPr>
            <w:r w:rsidRPr="002F6421">
              <w:t>Client Company size (no. of employees)</w:t>
            </w:r>
          </w:p>
        </w:tc>
      </w:tr>
      <w:tr w:rsidR="002F6421" w:rsidRPr="002F6421" w14:paraId="57C8345C" w14:textId="77777777" w:rsidTr="00AC5FC9">
        <w:trPr>
          <w:trHeight w:val="1156"/>
        </w:trPr>
        <w:tc>
          <w:tcPr>
            <w:tcW w:w="9493" w:type="dxa"/>
            <w:tcBorders>
              <w:bottom w:val="single" w:sz="4" w:space="0" w:color="auto"/>
            </w:tcBorders>
            <w:hideMark/>
          </w:tcPr>
          <w:p w14:paraId="10DB1E60" w14:textId="77777777" w:rsidR="00E538E9" w:rsidRPr="002F6421" w:rsidRDefault="002F6421">
            <w:r w:rsidRPr="002F6421">
              <w:t>Select for your Company size</w:t>
            </w:r>
          </w:p>
          <w:p w14:paraId="0CF8E7D4" w14:textId="0409FE4F" w:rsidR="00E538E9" w:rsidRPr="002F6421" w:rsidRDefault="00E538E9">
            <w:r w:rsidRPr="002F6421">
              <w:rPr>
                <w:b/>
                <w:bCs/>
              </w:rPr>
              <w:t>Micro</w:t>
            </w:r>
            <w:r w:rsidRPr="002F6421">
              <w:t xml:space="preserve">: </w:t>
            </w:r>
            <w:r w:rsidR="00CC29F1">
              <w:t>up t</w:t>
            </w:r>
            <w:r w:rsidR="00A351F9">
              <w:t xml:space="preserve">o </w:t>
            </w:r>
            <w:r w:rsidRPr="002F6421">
              <w:t>10 employees</w:t>
            </w:r>
          </w:p>
          <w:p w14:paraId="7AC239CD" w14:textId="7DDA0328" w:rsidR="00E538E9" w:rsidRPr="002F6421" w:rsidRDefault="00E538E9">
            <w:r w:rsidRPr="002F6421">
              <w:rPr>
                <w:b/>
                <w:bCs/>
              </w:rPr>
              <w:t>SME</w:t>
            </w:r>
            <w:r w:rsidRPr="002F6421">
              <w:t>: 1</w:t>
            </w:r>
            <w:r w:rsidR="008A54B3">
              <w:t>1</w:t>
            </w:r>
            <w:r w:rsidRPr="002F6421">
              <w:t xml:space="preserve"> - 250 employees</w:t>
            </w:r>
          </w:p>
          <w:p w14:paraId="01A95255" w14:textId="501CC519" w:rsidR="002F6421" w:rsidRPr="002F6421" w:rsidRDefault="00E538E9" w:rsidP="00E538E9">
            <w:r w:rsidRPr="002F6421">
              <w:rPr>
                <w:b/>
                <w:bCs/>
              </w:rPr>
              <w:t>Large</w:t>
            </w:r>
            <w:r w:rsidRPr="002F6421">
              <w:t>: &gt;250 employees</w:t>
            </w:r>
          </w:p>
        </w:tc>
      </w:tr>
      <w:tr w:rsidR="002F6421" w:rsidRPr="002F6421" w14:paraId="5BD71ED4" w14:textId="77777777" w:rsidTr="00AC5FC9">
        <w:trPr>
          <w:trHeight w:val="255"/>
        </w:trPr>
        <w:tc>
          <w:tcPr>
            <w:tcW w:w="9493" w:type="dxa"/>
            <w:hideMark/>
          </w:tcPr>
          <w:p w14:paraId="6B634EE9" w14:textId="77777777" w:rsidR="002F6421" w:rsidRPr="002F6421" w:rsidRDefault="002F6421">
            <w:r w:rsidRPr="002F6421">
              <w:t> </w:t>
            </w:r>
          </w:p>
        </w:tc>
      </w:tr>
      <w:tr w:rsidR="002F6421" w:rsidRPr="002F6421" w14:paraId="6AC0C1C3" w14:textId="77777777" w:rsidTr="00AC5FC9">
        <w:trPr>
          <w:trHeight w:val="300"/>
        </w:trPr>
        <w:tc>
          <w:tcPr>
            <w:tcW w:w="9493" w:type="dxa"/>
            <w:noWrap/>
            <w:hideMark/>
          </w:tcPr>
          <w:p w14:paraId="66C6914A" w14:textId="77777777" w:rsidR="002F6421" w:rsidRPr="002F6421" w:rsidRDefault="002F6421" w:rsidP="00912C58">
            <w:pPr>
              <w:pStyle w:val="Heading2"/>
            </w:pPr>
            <w:r w:rsidRPr="002F6421">
              <w:t>Lean Service Provider</w:t>
            </w:r>
          </w:p>
        </w:tc>
      </w:tr>
      <w:tr w:rsidR="002F6421" w:rsidRPr="002F6421" w14:paraId="57D5ED89" w14:textId="77777777" w:rsidTr="00AC5FC9">
        <w:trPr>
          <w:trHeight w:val="255"/>
        </w:trPr>
        <w:tc>
          <w:tcPr>
            <w:tcW w:w="9493" w:type="dxa"/>
            <w:hideMark/>
          </w:tcPr>
          <w:p w14:paraId="7FD635AB" w14:textId="77777777" w:rsidR="002F6421" w:rsidRPr="002F6421" w:rsidRDefault="002F6421">
            <w:r w:rsidRPr="002F6421">
              <w:t>Option to select for Lean Service Providers</w:t>
            </w:r>
          </w:p>
        </w:tc>
      </w:tr>
      <w:tr w:rsidR="000528EA" w:rsidRPr="002F6421" w14:paraId="4D544E6D" w14:textId="77777777" w:rsidTr="00AC5FC9">
        <w:trPr>
          <w:trHeight w:val="255"/>
        </w:trPr>
        <w:tc>
          <w:tcPr>
            <w:tcW w:w="9493" w:type="dxa"/>
          </w:tcPr>
          <w:p w14:paraId="45F7C52E" w14:textId="77777777" w:rsidR="000528EA" w:rsidRPr="002F6421" w:rsidRDefault="000528EA"/>
        </w:tc>
      </w:tr>
      <w:tr w:rsidR="002F6421" w:rsidRPr="002F6421" w14:paraId="3E7B6A03" w14:textId="77777777" w:rsidTr="00AC5FC9">
        <w:trPr>
          <w:trHeight w:val="300"/>
        </w:trPr>
        <w:tc>
          <w:tcPr>
            <w:tcW w:w="9493" w:type="dxa"/>
            <w:noWrap/>
            <w:hideMark/>
          </w:tcPr>
          <w:p w14:paraId="36F05F0E" w14:textId="77777777" w:rsidR="002F6421" w:rsidRPr="002F6421" w:rsidRDefault="002F6421" w:rsidP="00912C58">
            <w:pPr>
              <w:pStyle w:val="Heading2"/>
            </w:pPr>
            <w:r w:rsidRPr="002F6421">
              <w:t>Contact Details</w:t>
            </w:r>
          </w:p>
        </w:tc>
      </w:tr>
      <w:tr w:rsidR="002F6421" w:rsidRPr="002F6421" w14:paraId="29EB5858" w14:textId="77777777" w:rsidTr="00AC5FC9">
        <w:trPr>
          <w:trHeight w:val="255"/>
        </w:trPr>
        <w:tc>
          <w:tcPr>
            <w:tcW w:w="9493" w:type="dxa"/>
            <w:hideMark/>
          </w:tcPr>
          <w:p w14:paraId="1F9ECB56" w14:textId="77777777" w:rsidR="002F6421" w:rsidRPr="002F6421" w:rsidRDefault="002F6421">
            <w:r w:rsidRPr="002F6421">
              <w:t>Service Provider's email address, contact name and phone number</w:t>
            </w:r>
          </w:p>
        </w:tc>
      </w:tr>
      <w:tr w:rsidR="002F6421" w:rsidRPr="002F6421" w14:paraId="43EFC3D5" w14:textId="77777777" w:rsidTr="00AC5FC9">
        <w:trPr>
          <w:trHeight w:val="300"/>
        </w:trPr>
        <w:tc>
          <w:tcPr>
            <w:tcW w:w="9493" w:type="dxa"/>
            <w:noWrap/>
            <w:hideMark/>
          </w:tcPr>
          <w:p w14:paraId="3CD49F4B" w14:textId="77777777" w:rsidR="002F6421" w:rsidRPr="002F6421" w:rsidRDefault="002F6421" w:rsidP="00912C58">
            <w:pPr>
              <w:pStyle w:val="Heading2"/>
            </w:pPr>
            <w:r w:rsidRPr="002F6421">
              <w:lastRenderedPageBreak/>
              <w:t>Choosing a Service Provider</w:t>
            </w:r>
          </w:p>
        </w:tc>
      </w:tr>
      <w:tr w:rsidR="002F6421" w:rsidRPr="002F6421" w14:paraId="75E22C9E" w14:textId="77777777" w:rsidTr="00AC5FC9">
        <w:trPr>
          <w:trHeight w:val="7351"/>
        </w:trPr>
        <w:tc>
          <w:tcPr>
            <w:tcW w:w="9493" w:type="dxa"/>
            <w:tcBorders>
              <w:bottom w:val="single" w:sz="4" w:space="0" w:color="auto"/>
            </w:tcBorders>
            <w:noWrap/>
            <w:hideMark/>
          </w:tcPr>
          <w:p w14:paraId="72DDBB84" w14:textId="77777777" w:rsidR="00710ABC" w:rsidRPr="002F6421" w:rsidRDefault="002F6421">
            <w:r w:rsidRPr="002F6421">
              <w:t>In choosing a potential service provider, users of the directory should take into account the relative importance of:</w:t>
            </w:r>
          </w:p>
          <w:p w14:paraId="6FA518C9" w14:textId="77777777" w:rsidR="0096791B" w:rsidRPr="002F6421" w:rsidRDefault="00710ABC">
            <w:r w:rsidRPr="002F6421">
              <w:t>• Specialist sectoral knowledge and experience</w:t>
            </w:r>
            <w:r w:rsidRPr="002F6421">
              <w:br/>
              <w:t>• Breadth of experience across a range of sectors</w:t>
            </w:r>
            <w:r w:rsidRPr="002F6421">
              <w:br/>
              <w:t>• Range of professional disciplines which the provider can offer</w:t>
            </w:r>
            <w:r w:rsidRPr="002F6421">
              <w:br/>
              <w:t>• Proximity of the service provider</w:t>
            </w:r>
            <w:r w:rsidRPr="002F6421">
              <w:br/>
              <w:t>• Experience with competitors or similar businesses</w:t>
            </w:r>
            <w:r w:rsidRPr="002F6421">
              <w:br/>
              <w:t>• The fee rate per day, for short term and longer term assignments</w:t>
            </w:r>
            <w:r w:rsidRPr="002F6421">
              <w:br/>
              <w:t>• Current availability</w:t>
            </w:r>
            <w:r w:rsidRPr="002F6421">
              <w:br/>
              <w:t>• Recent client project list</w:t>
            </w:r>
            <w:r w:rsidRPr="002F6421">
              <w:br/>
              <w:t>• References to contact</w:t>
            </w:r>
          </w:p>
          <w:p w14:paraId="30BA80A5" w14:textId="77777777" w:rsidR="0096791B" w:rsidRPr="002F6421" w:rsidRDefault="0096791B">
            <w:r w:rsidRPr="002F6421">
              <w:t> </w:t>
            </w:r>
          </w:p>
          <w:p w14:paraId="13C25B81" w14:textId="77777777" w:rsidR="0096791B" w:rsidRPr="002F6421" w:rsidRDefault="0096791B">
            <w:r w:rsidRPr="002F6421">
              <w:t>The directory is compiled using the content submitted by service providers to Enterprise Ireland on their directory application. To be included in the directory, applicants must have demonstrated in their application the following characteristics:</w:t>
            </w:r>
          </w:p>
          <w:p w14:paraId="22261960" w14:textId="77777777" w:rsidR="006321DB" w:rsidRPr="002F6421" w:rsidRDefault="0096791B">
            <w:r w:rsidRPr="002F6421">
              <w:t xml:space="preserve">• A proven </w:t>
            </w:r>
            <w:r w:rsidRPr="002F6421">
              <w:rPr>
                <w:b/>
                <w:bCs/>
              </w:rPr>
              <w:t>track record</w:t>
            </w:r>
            <w:r w:rsidRPr="002F6421">
              <w:t xml:space="preserve"> in providing </w:t>
            </w:r>
            <w:r w:rsidRPr="002F6421">
              <w:rPr>
                <w:b/>
                <w:bCs/>
              </w:rPr>
              <w:t>environmental</w:t>
            </w:r>
            <w:r w:rsidRPr="002F6421">
              <w:t xml:space="preserve"> </w:t>
            </w:r>
            <w:r w:rsidRPr="002F6421">
              <w:rPr>
                <w:b/>
                <w:bCs/>
              </w:rPr>
              <w:t>consultancy and training services to business</w:t>
            </w:r>
            <w:r w:rsidRPr="002F6421">
              <w:t xml:space="preserve"> in either the large and/or the small and medium enterprise sectors </w:t>
            </w:r>
          </w:p>
          <w:p w14:paraId="2C3FFC10" w14:textId="77777777" w:rsidR="006321DB" w:rsidRPr="002F6421" w:rsidRDefault="006321DB" w:rsidP="002F6421">
            <w:r w:rsidRPr="002F6421">
              <w:t xml:space="preserve">• Experience in training/mentoring to </w:t>
            </w:r>
            <w:r w:rsidRPr="002F6421">
              <w:rPr>
                <w:b/>
                <w:bCs/>
              </w:rPr>
              <w:t>increase the agility and resilience of business to climate change impacts</w:t>
            </w:r>
          </w:p>
          <w:p w14:paraId="70699E1C" w14:textId="77777777" w:rsidR="006321DB" w:rsidRPr="002F6421" w:rsidRDefault="006321DB" w:rsidP="002F6421">
            <w:r w:rsidRPr="002F6421">
              <w:t>•</w:t>
            </w:r>
            <w:r w:rsidRPr="002F6421">
              <w:rPr>
                <w:b/>
                <w:bCs/>
              </w:rPr>
              <w:t xml:space="preserve"> Expert knowledge of environmental best practice</w:t>
            </w:r>
            <w:r w:rsidRPr="002F6421">
              <w:t xml:space="preserve"> and recognised qualifications in this area</w:t>
            </w:r>
          </w:p>
          <w:p w14:paraId="12ADA8BD" w14:textId="77777777" w:rsidR="006321DB" w:rsidRPr="002F6421" w:rsidRDefault="006321DB" w:rsidP="002F6421">
            <w:r w:rsidRPr="002F6421">
              <w:t xml:space="preserve">• Experience in developing and </w:t>
            </w:r>
            <w:r w:rsidRPr="002F6421">
              <w:rPr>
                <w:b/>
                <w:bCs/>
              </w:rPr>
              <w:t>embedding</w:t>
            </w:r>
            <w:r w:rsidRPr="002F6421">
              <w:t xml:space="preserve"> </w:t>
            </w:r>
            <w:r w:rsidRPr="002F6421">
              <w:rPr>
                <w:b/>
                <w:bCs/>
              </w:rPr>
              <w:t>company capabilities</w:t>
            </w:r>
            <w:r w:rsidRPr="002F6421">
              <w:t xml:space="preserve"> and skills in environmental best practice</w:t>
            </w:r>
          </w:p>
          <w:p w14:paraId="54DA60A1" w14:textId="77777777" w:rsidR="006321DB" w:rsidRPr="002F6421" w:rsidRDefault="006321DB" w:rsidP="002F6421">
            <w:r w:rsidRPr="002F6421">
              <w:t xml:space="preserve">• Effective </w:t>
            </w:r>
            <w:r w:rsidRPr="002F6421">
              <w:rPr>
                <w:b/>
                <w:bCs/>
              </w:rPr>
              <w:t>methodologies</w:t>
            </w:r>
            <w:r w:rsidRPr="002F6421">
              <w:t xml:space="preserve"> for delivering Green assignments</w:t>
            </w:r>
          </w:p>
          <w:p w14:paraId="314F2800" w14:textId="69A96919" w:rsidR="006321DB" w:rsidRPr="002F6421" w:rsidRDefault="006321DB" w:rsidP="002F6421">
            <w:r w:rsidRPr="002F6421">
              <w:t xml:space="preserve">• Detailed </w:t>
            </w:r>
            <w:r w:rsidRPr="002F6421">
              <w:rPr>
                <w:b/>
                <w:bCs/>
              </w:rPr>
              <w:t>sectoral knowledge and experience</w:t>
            </w:r>
            <w:r w:rsidRPr="002F6421">
              <w:t xml:space="preserve"> in one or more of the following business sectors: Food, Manufacturing</w:t>
            </w:r>
            <w:r w:rsidR="00EE64F9">
              <w:t xml:space="preserve"> </w:t>
            </w:r>
            <w:r w:rsidRPr="002F6421">
              <w:t>and Services</w:t>
            </w:r>
          </w:p>
          <w:p w14:paraId="3330A350" w14:textId="77777777" w:rsidR="002F6421" w:rsidRDefault="006321DB" w:rsidP="001D5954">
            <w:r w:rsidRPr="002F6421">
              <w:t xml:space="preserve">• </w:t>
            </w:r>
            <w:r>
              <w:t>T</w:t>
            </w:r>
            <w:r w:rsidRPr="002F6421">
              <w:t>he</w:t>
            </w:r>
            <w:r w:rsidRPr="001D5954">
              <w:rPr>
                <w:b/>
                <w:bCs/>
              </w:rPr>
              <w:t xml:space="preserve"> full-time resources and capacity</w:t>
            </w:r>
            <w:r w:rsidRPr="002F6421">
              <w:t xml:space="preserve"> to deliver prompt and professional responses to enquiries from client</w:t>
            </w:r>
            <w:r w:rsidR="009259B3">
              <w:t xml:space="preserve"> companies</w:t>
            </w:r>
            <w:r w:rsidRPr="002F6421">
              <w:t xml:space="preserve"> and to successfully complete assignments</w:t>
            </w:r>
          </w:p>
          <w:p w14:paraId="5A074283" w14:textId="77777777" w:rsidR="0083443F" w:rsidRDefault="0083443F" w:rsidP="001D5954"/>
          <w:p w14:paraId="7AC7A4D6" w14:textId="18024740" w:rsidR="00A94A13" w:rsidRPr="00743E42" w:rsidRDefault="00A94A13" w:rsidP="0083443F">
            <w:pPr>
              <w:rPr>
                <w:b/>
                <w:bCs/>
              </w:rPr>
            </w:pPr>
            <w:r w:rsidRPr="00743E42">
              <w:rPr>
                <w:b/>
                <w:bCs/>
              </w:rPr>
              <w:t xml:space="preserve">Users of the Directory </w:t>
            </w:r>
            <w:r w:rsidRPr="00743E42">
              <w:rPr>
                <w:b/>
                <w:bCs/>
              </w:rPr>
              <w:t>should interview at least three service providers and obtain three competitive quotations or tenders for consultancy/training fees.</w:t>
            </w:r>
          </w:p>
          <w:p w14:paraId="44D696B2" w14:textId="77777777" w:rsidR="00A94A13" w:rsidRDefault="00A94A13" w:rsidP="0083443F"/>
          <w:p w14:paraId="3A2D40C5" w14:textId="2A7425B0" w:rsidR="0083443F" w:rsidRDefault="0083443F" w:rsidP="0083443F">
            <w:pPr>
              <w:spacing w:after="0" w:line="240" w:lineRule="auto"/>
            </w:pPr>
            <w:r>
              <w:t>The directory will be updated by Enterprise Ireland on a regular basis.</w:t>
            </w:r>
          </w:p>
          <w:p w14:paraId="63B6F229" w14:textId="77777777" w:rsidR="0006409E" w:rsidRDefault="0006409E" w:rsidP="0083443F"/>
          <w:p w14:paraId="751AA865" w14:textId="1EFCCFA7" w:rsidR="0083443F" w:rsidRDefault="0083443F" w:rsidP="0083443F">
            <w:pPr>
              <w:spacing w:after="0" w:line="240" w:lineRule="auto"/>
            </w:pPr>
            <w:r>
              <w:t>The directory is not an exclusive or exhaustive list of service providers who may be capable of carrying out assignments under the Climate Planning Fund for Business.</w:t>
            </w:r>
          </w:p>
          <w:p w14:paraId="3191C69A" w14:textId="77777777" w:rsidR="0006409E" w:rsidRDefault="0006409E" w:rsidP="0083443F"/>
          <w:p w14:paraId="1ABB1AF0" w14:textId="7C750D72" w:rsidR="0083443F" w:rsidRDefault="0083443F" w:rsidP="0083443F">
            <w:pPr>
              <w:spacing w:after="0" w:line="240" w:lineRule="auto"/>
            </w:pPr>
            <w:r>
              <w:t>Enterprise Ireland seeks to ensure the directory information is accurate, and up to date, but is not responsible for the content.</w:t>
            </w:r>
          </w:p>
          <w:p w14:paraId="0D4E2AA2" w14:textId="77777777" w:rsidR="0006409E" w:rsidRDefault="0006409E" w:rsidP="0083443F"/>
          <w:p w14:paraId="17052090" w14:textId="407CC2E9" w:rsidR="0083443F" w:rsidRDefault="0083443F" w:rsidP="0083443F">
            <w:pPr>
              <w:spacing w:after="0" w:line="240" w:lineRule="auto"/>
            </w:pPr>
            <w:r>
              <w:t>It is the responsibility of the users of the directory to verify the experience, expertise, track record, capacity and other details which may define the competence and suitability of a listed service provider for a particular client assignment.</w:t>
            </w:r>
          </w:p>
          <w:p w14:paraId="70058B34" w14:textId="77777777" w:rsidR="0006409E" w:rsidRDefault="0006409E" w:rsidP="0083443F"/>
          <w:p w14:paraId="3ABEF0B5" w14:textId="0AC62EFE" w:rsidR="0083443F" w:rsidRDefault="0083443F" w:rsidP="0083443F">
            <w:pPr>
              <w:spacing w:after="0" w:line="240" w:lineRule="auto"/>
            </w:pPr>
            <w:r>
              <w:t>Enterprise Ireland staff will not provide clients with recommendations or selections from the directory. Clients are wholly responsible for selecting a service provider.</w:t>
            </w:r>
          </w:p>
          <w:p w14:paraId="495A4539" w14:textId="77777777" w:rsidR="0006409E" w:rsidRDefault="0006409E" w:rsidP="0083443F"/>
          <w:p w14:paraId="60389612" w14:textId="1FBA4E4B" w:rsidR="0083443F" w:rsidRPr="002F6421" w:rsidRDefault="0083443F" w:rsidP="0083443F">
            <w:r>
              <w:lastRenderedPageBreak/>
              <w:t>Enterprise Ireland does not give any warranty, either express or implied, as to the qualifications or suitability of any of the persons on the list of service providers and Enterprise Ireland will not be liable for any loss and damage caused by a company’s retaining the services of such a service provider.</w:t>
            </w:r>
          </w:p>
        </w:tc>
      </w:tr>
      <w:bookmarkEnd w:id="2"/>
      <w:bookmarkEnd w:id="3"/>
      <w:bookmarkEnd w:id="4"/>
      <w:bookmarkEnd w:id="5"/>
      <w:bookmarkEnd w:id="6"/>
      <w:bookmarkEnd w:id="7"/>
      <w:bookmarkEnd w:id="8"/>
      <w:bookmarkEnd w:id="9"/>
      <w:bookmarkEnd w:id="10"/>
      <w:bookmarkEnd w:id="11"/>
      <w:bookmarkEnd w:id="12"/>
      <w:bookmarkEnd w:id="13"/>
    </w:tbl>
    <w:p w14:paraId="053BB81B" w14:textId="77777777" w:rsidR="00C35FC0" w:rsidRDefault="00C35FC0" w:rsidP="00C35FC0"/>
    <w:sectPr w:rsidR="00C35F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0EF7" w14:textId="77777777" w:rsidR="001359EE" w:rsidRDefault="001359EE" w:rsidP="00873013">
      <w:pPr>
        <w:spacing w:after="0" w:line="240" w:lineRule="auto"/>
      </w:pPr>
      <w:r>
        <w:separator/>
      </w:r>
    </w:p>
  </w:endnote>
  <w:endnote w:type="continuationSeparator" w:id="0">
    <w:p w14:paraId="24DF0B3F" w14:textId="77777777" w:rsidR="001359EE" w:rsidRDefault="001359EE" w:rsidP="00873013">
      <w:pPr>
        <w:spacing w:after="0" w:line="240" w:lineRule="auto"/>
      </w:pPr>
      <w:r>
        <w:continuationSeparator/>
      </w:r>
    </w:p>
  </w:endnote>
  <w:endnote w:type="continuationNotice" w:id="1">
    <w:p w14:paraId="0F7D0FCC" w14:textId="77777777" w:rsidR="001359EE" w:rsidRDefault="00135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8D38" w14:textId="316881D1" w:rsidR="00873013" w:rsidRDefault="00873013" w:rsidP="00873013">
    <w:pPr>
      <w:pStyle w:val="Footer"/>
      <w:jc w:val="center"/>
    </w:pPr>
    <w:r>
      <w:t xml:space="preserve">                                                          Guidelines to use the Directory                                         Ver. </w:t>
    </w:r>
    <w:r w:rsidR="00A11F8B">
      <w:t>08</w:t>
    </w:r>
    <w:r>
      <w:t>.</w:t>
    </w:r>
    <w:r w:rsidR="00A11F8B">
      <w:t>05</w:t>
    </w:r>
    <w:r>
      <w:t>.2</w:t>
    </w:r>
    <w:r w:rsidR="00A11F8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6E0F" w14:textId="77777777" w:rsidR="001359EE" w:rsidRDefault="001359EE" w:rsidP="00873013">
      <w:pPr>
        <w:spacing w:after="0" w:line="240" w:lineRule="auto"/>
      </w:pPr>
      <w:r>
        <w:separator/>
      </w:r>
    </w:p>
  </w:footnote>
  <w:footnote w:type="continuationSeparator" w:id="0">
    <w:p w14:paraId="6C62089D" w14:textId="77777777" w:rsidR="001359EE" w:rsidRDefault="001359EE" w:rsidP="00873013">
      <w:pPr>
        <w:spacing w:after="0" w:line="240" w:lineRule="auto"/>
      </w:pPr>
      <w:r>
        <w:continuationSeparator/>
      </w:r>
    </w:p>
  </w:footnote>
  <w:footnote w:type="continuationNotice" w:id="1">
    <w:p w14:paraId="5356B391" w14:textId="77777777" w:rsidR="001359EE" w:rsidRDefault="001359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93F"/>
    <w:multiLevelType w:val="multilevel"/>
    <w:tmpl w:val="B700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93414"/>
    <w:multiLevelType w:val="hybridMultilevel"/>
    <w:tmpl w:val="1F0438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32321135">
    <w:abstractNumId w:val="1"/>
  </w:num>
  <w:num w:numId="2" w16cid:durableId="40549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C0"/>
    <w:rsid w:val="0000475F"/>
    <w:rsid w:val="00010E73"/>
    <w:rsid w:val="00037790"/>
    <w:rsid w:val="000528EA"/>
    <w:rsid w:val="000555D3"/>
    <w:rsid w:val="00060448"/>
    <w:rsid w:val="0006409E"/>
    <w:rsid w:val="00086925"/>
    <w:rsid w:val="000A140C"/>
    <w:rsid w:val="000B20F4"/>
    <w:rsid w:val="000D31DA"/>
    <w:rsid w:val="000D71A0"/>
    <w:rsid w:val="000E64E9"/>
    <w:rsid w:val="000F4AC9"/>
    <w:rsid w:val="001025A4"/>
    <w:rsid w:val="001113A6"/>
    <w:rsid w:val="00117635"/>
    <w:rsid w:val="00121FCD"/>
    <w:rsid w:val="001228EE"/>
    <w:rsid w:val="00123814"/>
    <w:rsid w:val="001359EE"/>
    <w:rsid w:val="0018028A"/>
    <w:rsid w:val="00181209"/>
    <w:rsid w:val="00183D83"/>
    <w:rsid w:val="001873BA"/>
    <w:rsid w:val="0018762C"/>
    <w:rsid w:val="001A008F"/>
    <w:rsid w:val="001A0756"/>
    <w:rsid w:val="001A153E"/>
    <w:rsid w:val="001A7869"/>
    <w:rsid w:val="001B108F"/>
    <w:rsid w:val="001D5954"/>
    <w:rsid w:val="001D67BE"/>
    <w:rsid w:val="001E42E1"/>
    <w:rsid w:val="001F54F6"/>
    <w:rsid w:val="002011C8"/>
    <w:rsid w:val="00201257"/>
    <w:rsid w:val="00207F3A"/>
    <w:rsid w:val="00222212"/>
    <w:rsid w:val="00230E88"/>
    <w:rsid w:val="00232AF8"/>
    <w:rsid w:val="00243212"/>
    <w:rsid w:val="0024414C"/>
    <w:rsid w:val="00253704"/>
    <w:rsid w:val="00254BEC"/>
    <w:rsid w:val="00262E96"/>
    <w:rsid w:val="00273605"/>
    <w:rsid w:val="00281700"/>
    <w:rsid w:val="002A0E77"/>
    <w:rsid w:val="002A71C5"/>
    <w:rsid w:val="002B0FDB"/>
    <w:rsid w:val="002C03B5"/>
    <w:rsid w:val="002D4671"/>
    <w:rsid w:val="002D4AF9"/>
    <w:rsid w:val="002E2C94"/>
    <w:rsid w:val="002F14A8"/>
    <w:rsid w:val="002F6421"/>
    <w:rsid w:val="00310B10"/>
    <w:rsid w:val="00322903"/>
    <w:rsid w:val="0032384F"/>
    <w:rsid w:val="00331AB9"/>
    <w:rsid w:val="00342025"/>
    <w:rsid w:val="0034300D"/>
    <w:rsid w:val="0035314A"/>
    <w:rsid w:val="0037660C"/>
    <w:rsid w:val="00393371"/>
    <w:rsid w:val="00393C8B"/>
    <w:rsid w:val="003A0185"/>
    <w:rsid w:val="003A623A"/>
    <w:rsid w:val="003D70F5"/>
    <w:rsid w:val="003E0F68"/>
    <w:rsid w:val="00404954"/>
    <w:rsid w:val="00410A43"/>
    <w:rsid w:val="00453573"/>
    <w:rsid w:val="00473AFF"/>
    <w:rsid w:val="004A4C88"/>
    <w:rsid w:val="004B2793"/>
    <w:rsid w:val="004E07AA"/>
    <w:rsid w:val="004E3E0B"/>
    <w:rsid w:val="004E6FD7"/>
    <w:rsid w:val="00530283"/>
    <w:rsid w:val="0053427B"/>
    <w:rsid w:val="00541C77"/>
    <w:rsid w:val="005946D4"/>
    <w:rsid w:val="005A10E2"/>
    <w:rsid w:val="005B5656"/>
    <w:rsid w:val="005B7F0B"/>
    <w:rsid w:val="005C48A8"/>
    <w:rsid w:val="005D2CE1"/>
    <w:rsid w:val="005D3505"/>
    <w:rsid w:val="005E0223"/>
    <w:rsid w:val="005E05DF"/>
    <w:rsid w:val="005E3CF1"/>
    <w:rsid w:val="005F0FD1"/>
    <w:rsid w:val="005F1264"/>
    <w:rsid w:val="0060170D"/>
    <w:rsid w:val="00602A87"/>
    <w:rsid w:val="0060582C"/>
    <w:rsid w:val="006123C4"/>
    <w:rsid w:val="00617621"/>
    <w:rsid w:val="006321DB"/>
    <w:rsid w:val="0065285B"/>
    <w:rsid w:val="00661F9E"/>
    <w:rsid w:val="00673419"/>
    <w:rsid w:val="0067516F"/>
    <w:rsid w:val="006840C3"/>
    <w:rsid w:val="00690C6F"/>
    <w:rsid w:val="0069106F"/>
    <w:rsid w:val="00693FAE"/>
    <w:rsid w:val="0069575A"/>
    <w:rsid w:val="006B1E39"/>
    <w:rsid w:val="006E26AA"/>
    <w:rsid w:val="00710ABC"/>
    <w:rsid w:val="00725F39"/>
    <w:rsid w:val="00726F5D"/>
    <w:rsid w:val="00732E97"/>
    <w:rsid w:val="007367A5"/>
    <w:rsid w:val="00740B7C"/>
    <w:rsid w:val="007435D7"/>
    <w:rsid w:val="00743E42"/>
    <w:rsid w:val="00794B3D"/>
    <w:rsid w:val="00794EE2"/>
    <w:rsid w:val="0079624B"/>
    <w:rsid w:val="007A510B"/>
    <w:rsid w:val="007B0FBE"/>
    <w:rsid w:val="007B308D"/>
    <w:rsid w:val="007C2240"/>
    <w:rsid w:val="007F23EE"/>
    <w:rsid w:val="0081426B"/>
    <w:rsid w:val="00820949"/>
    <w:rsid w:val="008264AF"/>
    <w:rsid w:val="0083443F"/>
    <w:rsid w:val="00873013"/>
    <w:rsid w:val="0087775D"/>
    <w:rsid w:val="00880517"/>
    <w:rsid w:val="008A54B3"/>
    <w:rsid w:val="008B5946"/>
    <w:rsid w:val="008C5D3F"/>
    <w:rsid w:val="008D14BA"/>
    <w:rsid w:val="00903DE0"/>
    <w:rsid w:val="0090422C"/>
    <w:rsid w:val="00911C32"/>
    <w:rsid w:val="00912C58"/>
    <w:rsid w:val="00912CC2"/>
    <w:rsid w:val="00922BEB"/>
    <w:rsid w:val="0092506D"/>
    <w:rsid w:val="009259B3"/>
    <w:rsid w:val="009361AE"/>
    <w:rsid w:val="00936FA3"/>
    <w:rsid w:val="00955AE3"/>
    <w:rsid w:val="0096791B"/>
    <w:rsid w:val="00977669"/>
    <w:rsid w:val="009776F2"/>
    <w:rsid w:val="009803AD"/>
    <w:rsid w:val="00997001"/>
    <w:rsid w:val="009A0F04"/>
    <w:rsid w:val="009A140E"/>
    <w:rsid w:val="009A7C6C"/>
    <w:rsid w:val="009E14F9"/>
    <w:rsid w:val="009F00AC"/>
    <w:rsid w:val="00A05288"/>
    <w:rsid w:val="00A11F8B"/>
    <w:rsid w:val="00A1210C"/>
    <w:rsid w:val="00A351F9"/>
    <w:rsid w:val="00A3785D"/>
    <w:rsid w:val="00A52C30"/>
    <w:rsid w:val="00A6033B"/>
    <w:rsid w:val="00A61C59"/>
    <w:rsid w:val="00A62D79"/>
    <w:rsid w:val="00A707BF"/>
    <w:rsid w:val="00A811C0"/>
    <w:rsid w:val="00A84E4F"/>
    <w:rsid w:val="00A94A13"/>
    <w:rsid w:val="00A9711F"/>
    <w:rsid w:val="00A9777C"/>
    <w:rsid w:val="00AA5422"/>
    <w:rsid w:val="00AC1B25"/>
    <w:rsid w:val="00AC3D86"/>
    <w:rsid w:val="00AC5377"/>
    <w:rsid w:val="00AC5FC9"/>
    <w:rsid w:val="00AD36F1"/>
    <w:rsid w:val="00AD6843"/>
    <w:rsid w:val="00AE118E"/>
    <w:rsid w:val="00AF3DD3"/>
    <w:rsid w:val="00AF4E8E"/>
    <w:rsid w:val="00AF4F44"/>
    <w:rsid w:val="00B11BC0"/>
    <w:rsid w:val="00B16758"/>
    <w:rsid w:val="00B209CA"/>
    <w:rsid w:val="00B262A1"/>
    <w:rsid w:val="00B37342"/>
    <w:rsid w:val="00B5587B"/>
    <w:rsid w:val="00B629BD"/>
    <w:rsid w:val="00B64B00"/>
    <w:rsid w:val="00B8490E"/>
    <w:rsid w:val="00BA1877"/>
    <w:rsid w:val="00BA388E"/>
    <w:rsid w:val="00BC2C16"/>
    <w:rsid w:val="00BC774B"/>
    <w:rsid w:val="00BE2A44"/>
    <w:rsid w:val="00BE33B7"/>
    <w:rsid w:val="00C25073"/>
    <w:rsid w:val="00C32F12"/>
    <w:rsid w:val="00C35336"/>
    <w:rsid w:val="00C35FC0"/>
    <w:rsid w:val="00C364C7"/>
    <w:rsid w:val="00C95B51"/>
    <w:rsid w:val="00CB50C8"/>
    <w:rsid w:val="00CC29F1"/>
    <w:rsid w:val="00CD200B"/>
    <w:rsid w:val="00CE1154"/>
    <w:rsid w:val="00CE46D2"/>
    <w:rsid w:val="00CE5B5F"/>
    <w:rsid w:val="00D10649"/>
    <w:rsid w:val="00D30823"/>
    <w:rsid w:val="00D32475"/>
    <w:rsid w:val="00D830BC"/>
    <w:rsid w:val="00D95A4F"/>
    <w:rsid w:val="00DA1857"/>
    <w:rsid w:val="00DD60A4"/>
    <w:rsid w:val="00DD7493"/>
    <w:rsid w:val="00DD7677"/>
    <w:rsid w:val="00DE53CD"/>
    <w:rsid w:val="00DE7684"/>
    <w:rsid w:val="00DF5360"/>
    <w:rsid w:val="00E12D21"/>
    <w:rsid w:val="00E202C5"/>
    <w:rsid w:val="00E21C9F"/>
    <w:rsid w:val="00E33763"/>
    <w:rsid w:val="00E41F4D"/>
    <w:rsid w:val="00E425AA"/>
    <w:rsid w:val="00E438A4"/>
    <w:rsid w:val="00E538E9"/>
    <w:rsid w:val="00E5615F"/>
    <w:rsid w:val="00E5743D"/>
    <w:rsid w:val="00E6007D"/>
    <w:rsid w:val="00E603B4"/>
    <w:rsid w:val="00E836AA"/>
    <w:rsid w:val="00E86B48"/>
    <w:rsid w:val="00E96D06"/>
    <w:rsid w:val="00EB5D11"/>
    <w:rsid w:val="00ED0A0B"/>
    <w:rsid w:val="00ED4882"/>
    <w:rsid w:val="00ED494D"/>
    <w:rsid w:val="00ED5B9B"/>
    <w:rsid w:val="00EE3145"/>
    <w:rsid w:val="00EE64F9"/>
    <w:rsid w:val="00F262F1"/>
    <w:rsid w:val="00F50EB2"/>
    <w:rsid w:val="00F54898"/>
    <w:rsid w:val="00F62C08"/>
    <w:rsid w:val="00F73D41"/>
    <w:rsid w:val="00F83343"/>
    <w:rsid w:val="00F84D2F"/>
    <w:rsid w:val="00FA6132"/>
    <w:rsid w:val="00FD21D5"/>
    <w:rsid w:val="00FD4028"/>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4DB"/>
  <w15:chartTrackingRefBased/>
  <w15:docId w15:val="{40B983F7-9ED6-4659-ADEA-85FC9DDC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6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76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76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76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76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76F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73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013"/>
  </w:style>
  <w:style w:type="paragraph" w:styleId="Footer">
    <w:name w:val="footer"/>
    <w:basedOn w:val="Normal"/>
    <w:link w:val="FooterChar"/>
    <w:uiPriority w:val="99"/>
    <w:unhideWhenUsed/>
    <w:rsid w:val="00873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013"/>
  </w:style>
  <w:style w:type="paragraph" w:styleId="ListParagraph">
    <w:name w:val="List Paragraph"/>
    <w:basedOn w:val="Normal"/>
    <w:uiPriority w:val="34"/>
    <w:qFormat/>
    <w:rsid w:val="001D5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6888">
      <w:bodyDiv w:val="1"/>
      <w:marLeft w:val="0"/>
      <w:marRight w:val="0"/>
      <w:marTop w:val="0"/>
      <w:marBottom w:val="0"/>
      <w:divBdr>
        <w:top w:val="none" w:sz="0" w:space="0" w:color="auto"/>
        <w:left w:val="none" w:sz="0" w:space="0" w:color="auto"/>
        <w:bottom w:val="none" w:sz="0" w:space="0" w:color="auto"/>
        <w:right w:val="none" w:sz="0" w:space="0" w:color="auto"/>
      </w:divBdr>
    </w:div>
    <w:div w:id="1032149608">
      <w:bodyDiv w:val="1"/>
      <w:marLeft w:val="0"/>
      <w:marRight w:val="0"/>
      <w:marTop w:val="0"/>
      <w:marBottom w:val="0"/>
      <w:divBdr>
        <w:top w:val="none" w:sz="0" w:space="0" w:color="auto"/>
        <w:left w:val="none" w:sz="0" w:space="0" w:color="auto"/>
        <w:bottom w:val="none" w:sz="0" w:space="0" w:color="auto"/>
        <w:right w:val="none" w:sz="0" w:space="0" w:color="auto"/>
      </w:divBdr>
    </w:div>
    <w:div w:id="13005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07bb04-6ad9-40a3-893c-e4ff79fc85fa">
      <UserInfo>
        <DisplayName/>
        <AccountId xsi:nil="true"/>
        <AccountType/>
      </UserInfo>
    </SharedWithUsers>
    <lcf76f155ced4ddcb4097134ff3c332f xmlns="ba202540-ab5c-4a37-b2cb-2e856e96994f">
      <Terms xmlns="http://schemas.microsoft.com/office/infopath/2007/PartnerControls"/>
    </lcf76f155ced4ddcb4097134ff3c332f>
    <TaxCatchAll xmlns="0c07bb04-6ad9-40a3-893c-e4ff79fc85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F68EF636B8B24DB7BDE15AC06D31F5" ma:contentTypeVersion="15" ma:contentTypeDescription="Create a new document." ma:contentTypeScope="" ma:versionID="196c70ff0f4c73072516cc173824b467">
  <xsd:schema xmlns:xsd="http://www.w3.org/2001/XMLSchema" xmlns:xs="http://www.w3.org/2001/XMLSchema" xmlns:p="http://schemas.microsoft.com/office/2006/metadata/properties" xmlns:ns2="ba202540-ab5c-4a37-b2cb-2e856e96994f" xmlns:ns3="0c07bb04-6ad9-40a3-893c-e4ff79fc85fa" targetNamespace="http://schemas.microsoft.com/office/2006/metadata/properties" ma:root="true" ma:fieldsID="291a19dc9fdde4f62bebb726cca191e6" ns2:_="" ns3:_="">
    <xsd:import namespace="ba202540-ab5c-4a37-b2cb-2e856e96994f"/>
    <xsd:import namespace="0c07bb04-6ad9-40a3-893c-e4ff79fc8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2540-ab5c-4a37-b2cb-2e856e969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f7c7a3-53c4-4afb-8451-c4d558f2c4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7bb04-6ad9-40a3-893c-e4ff79fc85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a4bf1f-ad3e-4c71-8a84-887acd935067}" ma:internalName="TaxCatchAll" ma:showField="CatchAllData" ma:web="0c07bb04-6ad9-40a3-893c-e4ff79fc8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D3F51-D9FD-4788-B4BF-64550BCFBBB6}">
  <ds:schemaRefs>
    <ds:schemaRef ds:uri="http://schemas.microsoft.com/office/2006/metadata/properties"/>
    <ds:schemaRef ds:uri="http://schemas.microsoft.com/office/infopath/2007/PartnerControls"/>
    <ds:schemaRef ds:uri="0c07bb04-6ad9-40a3-893c-e4ff79fc85fa"/>
    <ds:schemaRef ds:uri="ba202540-ab5c-4a37-b2cb-2e856e96994f"/>
  </ds:schemaRefs>
</ds:datastoreItem>
</file>

<file path=customXml/itemProps2.xml><?xml version="1.0" encoding="utf-8"?>
<ds:datastoreItem xmlns:ds="http://schemas.openxmlformats.org/officeDocument/2006/customXml" ds:itemID="{44B5DAB0-3B0A-4FAF-888D-23FBDEE65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2540-ab5c-4a37-b2cb-2e856e96994f"/>
    <ds:schemaRef ds:uri="0c07bb04-6ad9-40a3-893c-e4ff79fc8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30841-A97A-4885-846F-5A46BE5B4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O'Regan, Kathleen</dc:creator>
  <cp:keywords/>
  <dc:description/>
  <cp:lastModifiedBy>O'Regan, Kathleen</cp:lastModifiedBy>
  <cp:revision>239</cp:revision>
  <dcterms:created xsi:type="dcterms:W3CDTF">2020-07-15T08:53:00Z</dcterms:created>
  <dcterms:modified xsi:type="dcterms:W3CDTF">2023-05-08T15:51:00Z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0x010100B9F68EF636B8B24DB7BDE15AC06D31F5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