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89C64" w14:textId="4D9996B6" w:rsidR="00C026BA" w:rsidRDefault="00847D7C" w:rsidP="00847D7C">
      <w:pPr>
        <w:spacing w:after="0"/>
        <w:ind w:left="-850" w:right="-850"/>
        <w:jc w:val="center"/>
        <w:rPr>
          <w:rStyle w:val="Heading1Char"/>
        </w:rPr>
      </w:pPr>
      <w:r>
        <w:rPr>
          <w:noProof/>
        </w:rPr>
        <w:drawing>
          <wp:anchor distT="0" distB="0" distL="114300" distR="114300" simplePos="0" relativeHeight="251660288" behindDoc="0" locked="0" layoutInCell="1" allowOverlap="1" wp14:anchorId="61A86133" wp14:editId="2B796D97">
            <wp:simplePos x="0" y="0"/>
            <wp:positionH relativeFrom="column">
              <wp:posOffset>1438275</wp:posOffset>
            </wp:positionH>
            <wp:positionV relativeFrom="paragraph">
              <wp:posOffset>53975</wp:posOffset>
            </wp:positionV>
            <wp:extent cx="2019300" cy="6489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19300" cy="648970"/>
                    </a:xfrm>
                    <a:prstGeom prst="rect">
                      <a:avLst/>
                    </a:prstGeom>
                    <a:noFill/>
                    <a:ln>
                      <a:noFill/>
                    </a:ln>
                  </pic:spPr>
                </pic:pic>
              </a:graphicData>
            </a:graphic>
          </wp:anchor>
        </w:drawing>
      </w:r>
      <w:r w:rsidRPr="005402CC">
        <w:rPr>
          <w:rFonts w:ascii="Calibri" w:eastAsia="Calibri" w:hAnsi="Calibri"/>
          <w:noProof/>
        </w:rPr>
        <w:drawing>
          <wp:inline distT="0" distB="0" distL="0" distR="0" wp14:anchorId="475DC231" wp14:editId="4F6CB14F">
            <wp:extent cx="20256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25650" cy="781050"/>
                    </a:xfrm>
                    <a:prstGeom prst="rect">
                      <a:avLst/>
                    </a:prstGeom>
                    <a:noFill/>
                    <a:ln>
                      <a:noFill/>
                    </a:ln>
                  </pic:spPr>
                </pic:pic>
              </a:graphicData>
            </a:graphic>
          </wp:inline>
        </w:drawing>
      </w:r>
    </w:p>
    <w:p w14:paraId="066FBE37" w14:textId="51E0A00B" w:rsidR="00C026BA" w:rsidRDefault="009B64EB" w:rsidP="00F30DEB">
      <w:pPr>
        <w:rPr>
          <w:rStyle w:val="Heading1Char"/>
        </w:rPr>
      </w:pPr>
      <w:r>
        <w:rPr>
          <w:rStyle w:val="Heading1Char"/>
        </w:rPr>
        <w:t xml:space="preserve">  </w:t>
      </w:r>
    </w:p>
    <w:p w14:paraId="5224DD9B" w14:textId="77777777" w:rsidR="00571B7E" w:rsidRDefault="00571B7E" w:rsidP="00F30DEB">
      <w:pPr>
        <w:rPr>
          <w:rStyle w:val="Heading1Char"/>
        </w:rPr>
      </w:pPr>
    </w:p>
    <w:sdt>
      <w:sdtPr>
        <w:id w:val="-154914278"/>
        <w:docPartObj>
          <w:docPartGallery w:val="Table of Contents"/>
          <w:docPartUnique/>
        </w:docPartObj>
      </w:sdtPr>
      <w:sdtEndPr>
        <w:rPr>
          <w:rFonts w:asciiTheme="minorHAnsi" w:eastAsiaTheme="minorHAnsi" w:hAnsiTheme="minorHAnsi" w:cstheme="minorBidi"/>
          <w:b/>
          <w:bCs/>
          <w:color w:val="auto"/>
          <w:sz w:val="22"/>
          <w:szCs w:val="22"/>
        </w:rPr>
      </w:sdtEndPr>
      <w:sdtContent>
        <w:p w14:paraId="419731CC" w14:textId="0EFC4D01" w:rsidR="00571B7E" w:rsidRDefault="00571B7E" w:rsidP="00571B7E">
          <w:pPr>
            <w:pStyle w:val="TOCHeading"/>
          </w:pPr>
          <w:r>
            <w:t>GreenStart Assignment Guidelines</w:t>
          </w:r>
        </w:p>
        <w:p w14:paraId="59E5B861" w14:textId="605E2E3B" w:rsidR="001E70B0" w:rsidRPr="001E70B0" w:rsidRDefault="001E70B0" w:rsidP="00D267E5">
          <w:pPr>
            <w:spacing w:after="0"/>
            <w:ind w:right="-850"/>
            <w:rPr>
              <w:rFonts w:asciiTheme="majorHAnsi" w:eastAsiaTheme="majorEastAsia" w:hAnsiTheme="majorHAnsi" w:cstheme="majorBidi"/>
              <w:color w:val="2F5496" w:themeColor="accent1" w:themeShade="BF"/>
              <w:sz w:val="32"/>
              <w:szCs w:val="32"/>
            </w:rPr>
          </w:pPr>
        </w:p>
        <w:p w14:paraId="5DD1D391" w14:textId="439C6180" w:rsidR="00BD6B00" w:rsidRDefault="001E70B0">
          <w:pPr>
            <w:pStyle w:val="TOC1"/>
            <w:tabs>
              <w:tab w:val="left" w:pos="440"/>
              <w:tab w:val="right" w:leader="dot" w:pos="12950"/>
            </w:tabs>
            <w:rPr>
              <w:rFonts w:eastAsiaTheme="minorEastAsia"/>
              <w:noProof/>
              <w:lang w:val="en-IE" w:eastAsia="en-IE"/>
            </w:rPr>
          </w:pPr>
          <w:r w:rsidRPr="001E70B0">
            <w:rPr>
              <w:rFonts w:asciiTheme="majorHAnsi" w:eastAsiaTheme="majorEastAsia" w:hAnsiTheme="majorHAnsi" w:cstheme="majorBidi"/>
              <w:color w:val="2F5496" w:themeColor="accent1" w:themeShade="BF"/>
              <w:sz w:val="32"/>
              <w:szCs w:val="32"/>
            </w:rPr>
            <w:fldChar w:fldCharType="begin"/>
          </w:r>
          <w:r w:rsidRPr="001E70B0">
            <w:rPr>
              <w:rFonts w:asciiTheme="majorHAnsi" w:eastAsiaTheme="majorEastAsia" w:hAnsiTheme="majorHAnsi" w:cstheme="majorBidi"/>
              <w:color w:val="2F5496" w:themeColor="accent1" w:themeShade="BF"/>
              <w:sz w:val="32"/>
              <w:szCs w:val="32"/>
            </w:rPr>
            <w:instrText xml:space="preserve"> TOC \o "1-3" \h \z \u </w:instrText>
          </w:r>
          <w:r w:rsidRPr="001E70B0">
            <w:rPr>
              <w:rFonts w:asciiTheme="majorHAnsi" w:eastAsiaTheme="majorEastAsia" w:hAnsiTheme="majorHAnsi" w:cstheme="majorBidi"/>
              <w:color w:val="2F5496" w:themeColor="accent1" w:themeShade="BF"/>
              <w:sz w:val="32"/>
              <w:szCs w:val="32"/>
            </w:rPr>
            <w:fldChar w:fldCharType="separate"/>
          </w:r>
          <w:hyperlink w:anchor="_Toc112072884" w:history="1">
            <w:r w:rsidR="00BD6B00" w:rsidRPr="00D25823">
              <w:rPr>
                <w:rStyle w:val="Hyperlink"/>
                <w:noProof/>
              </w:rPr>
              <w:t>1</w:t>
            </w:r>
            <w:r w:rsidR="00BD6B00">
              <w:rPr>
                <w:rFonts w:eastAsiaTheme="minorEastAsia"/>
                <w:noProof/>
                <w:lang w:val="en-IE" w:eastAsia="en-IE"/>
              </w:rPr>
              <w:tab/>
            </w:r>
            <w:r w:rsidR="00BD6B00" w:rsidRPr="00D25823">
              <w:rPr>
                <w:rStyle w:val="Hyperlink"/>
                <w:noProof/>
              </w:rPr>
              <w:t>Application Process</w:t>
            </w:r>
            <w:r w:rsidR="00BD6B00">
              <w:rPr>
                <w:noProof/>
                <w:webHidden/>
              </w:rPr>
              <w:tab/>
            </w:r>
            <w:r w:rsidR="00BD6B00">
              <w:rPr>
                <w:noProof/>
                <w:webHidden/>
              </w:rPr>
              <w:fldChar w:fldCharType="begin"/>
            </w:r>
            <w:r w:rsidR="00BD6B00">
              <w:rPr>
                <w:noProof/>
                <w:webHidden/>
              </w:rPr>
              <w:instrText xml:space="preserve"> PAGEREF _Toc112072884 \h </w:instrText>
            </w:r>
            <w:r w:rsidR="00BD6B00">
              <w:rPr>
                <w:noProof/>
                <w:webHidden/>
              </w:rPr>
            </w:r>
            <w:r w:rsidR="00BD6B00">
              <w:rPr>
                <w:noProof/>
                <w:webHidden/>
              </w:rPr>
              <w:fldChar w:fldCharType="separate"/>
            </w:r>
            <w:r w:rsidR="00BD6B00">
              <w:rPr>
                <w:noProof/>
                <w:webHidden/>
              </w:rPr>
              <w:t>2</w:t>
            </w:r>
            <w:r w:rsidR="00BD6B00">
              <w:rPr>
                <w:noProof/>
                <w:webHidden/>
              </w:rPr>
              <w:fldChar w:fldCharType="end"/>
            </w:r>
          </w:hyperlink>
        </w:p>
        <w:p w14:paraId="55AE40FC" w14:textId="50C63105" w:rsidR="00BD6B00" w:rsidRDefault="006145E8">
          <w:pPr>
            <w:pStyle w:val="TOC1"/>
            <w:tabs>
              <w:tab w:val="left" w:pos="440"/>
              <w:tab w:val="right" w:leader="dot" w:pos="12950"/>
            </w:tabs>
            <w:rPr>
              <w:rFonts w:eastAsiaTheme="minorEastAsia"/>
              <w:noProof/>
              <w:lang w:val="en-IE" w:eastAsia="en-IE"/>
            </w:rPr>
          </w:pPr>
          <w:hyperlink w:anchor="_Toc112072885" w:history="1">
            <w:r w:rsidR="00BD6B00" w:rsidRPr="00D25823">
              <w:rPr>
                <w:rStyle w:val="Hyperlink"/>
                <w:noProof/>
              </w:rPr>
              <w:t>2</w:t>
            </w:r>
            <w:r w:rsidR="00BD6B00">
              <w:rPr>
                <w:rFonts w:eastAsiaTheme="minorEastAsia"/>
                <w:noProof/>
                <w:lang w:val="en-IE" w:eastAsia="en-IE"/>
              </w:rPr>
              <w:tab/>
            </w:r>
            <w:r w:rsidR="00BD6B00" w:rsidRPr="00D25823">
              <w:rPr>
                <w:rStyle w:val="Hyperlink"/>
                <w:noProof/>
              </w:rPr>
              <w:t>Assignment Costs / Duration</w:t>
            </w:r>
            <w:r w:rsidR="00BD6B00">
              <w:rPr>
                <w:noProof/>
                <w:webHidden/>
              </w:rPr>
              <w:tab/>
            </w:r>
            <w:r w:rsidR="00BD6B00">
              <w:rPr>
                <w:noProof/>
                <w:webHidden/>
              </w:rPr>
              <w:fldChar w:fldCharType="begin"/>
            </w:r>
            <w:r w:rsidR="00BD6B00">
              <w:rPr>
                <w:noProof/>
                <w:webHidden/>
              </w:rPr>
              <w:instrText xml:space="preserve"> PAGEREF _Toc112072885 \h </w:instrText>
            </w:r>
            <w:r w:rsidR="00BD6B00">
              <w:rPr>
                <w:noProof/>
                <w:webHidden/>
              </w:rPr>
            </w:r>
            <w:r w:rsidR="00BD6B00">
              <w:rPr>
                <w:noProof/>
                <w:webHidden/>
              </w:rPr>
              <w:fldChar w:fldCharType="separate"/>
            </w:r>
            <w:r w:rsidR="00BD6B00">
              <w:rPr>
                <w:noProof/>
                <w:webHidden/>
              </w:rPr>
              <w:t>2</w:t>
            </w:r>
            <w:r w:rsidR="00BD6B00">
              <w:rPr>
                <w:noProof/>
                <w:webHidden/>
              </w:rPr>
              <w:fldChar w:fldCharType="end"/>
            </w:r>
          </w:hyperlink>
        </w:p>
        <w:p w14:paraId="18FFDF30" w14:textId="6522C64D" w:rsidR="00BD6B00" w:rsidRDefault="006145E8">
          <w:pPr>
            <w:pStyle w:val="TOC1"/>
            <w:tabs>
              <w:tab w:val="left" w:pos="440"/>
              <w:tab w:val="right" w:leader="dot" w:pos="12950"/>
            </w:tabs>
            <w:rPr>
              <w:rFonts w:eastAsiaTheme="minorEastAsia"/>
              <w:noProof/>
              <w:lang w:val="en-IE" w:eastAsia="en-IE"/>
            </w:rPr>
          </w:pPr>
          <w:hyperlink w:anchor="_Toc112072886" w:history="1">
            <w:r w:rsidR="00BD6B00" w:rsidRPr="00D25823">
              <w:rPr>
                <w:rStyle w:val="Hyperlink"/>
                <w:noProof/>
              </w:rPr>
              <w:t>3</w:t>
            </w:r>
            <w:r w:rsidR="00BD6B00">
              <w:rPr>
                <w:rFonts w:eastAsiaTheme="minorEastAsia"/>
                <w:noProof/>
                <w:lang w:val="en-IE" w:eastAsia="en-IE"/>
              </w:rPr>
              <w:tab/>
            </w:r>
            <w:r w:rsidR="00BD6B00" w:rsidRPr="00D25823">
              <w:rPr>
                <w:rStyle w:val="Hyperlink"/>
                <w:noProof/>
              </w:rPr>
              <w:t>Progress Report &amp; Claim</w:t>
            </w:r>
            <w:r w:rsidR="00BD6B00">
              <w:rPr>
                <w:noProof/>
                <w:webHidden/>
              </w:rPr>
              <w:tab/>
            </w:r>
            <w:r w:rsidR="00BD6B00">
              <w:rPr>
                <w:noProof/>
                <w:webHidden/>
              </w:rPr>
              <w:fldChar w:fldCharType="begin"/>
            </w:r>
            <w:r w:rsidR="00BD6B00">
              <w:rPr>
                <w:noProof/>
                <w:webHidden/>
              </w:rPr>
              <w:instrText xml:space="preserve"> PAGEREF _Toc112072886 \h </w:instrText>
            </w:r>
            <w:r w:rsidR="00BD6B00">
              <w:rPr>
                <w:noProof/>
                <w:webHidden/>
              </w:rPr>
            </w:r>
            <w:r w:rsidR="00BD6B00">
              <w:rPr>
                <w:noProof/>
                <w:webHidden/>
              </w:rPr>
              <w:fldChar w:fldCharType="separate"/>
            </w:r>
            <w:r w:rsidR="00BD6B00">
              <w:rPr>
                <w:noProof/>
                <w:webHidden/>
              </w:rPr>
              <w:t>2</w:t>
            </w:r>
            <w:r w:rsidR="00BD6B00">
              <w:rPr>
                <w:noProof/>
                <w:webHidden/>
              </w:rPr>
              <w:fldChar w:fldCharType="end"/>
            </w:r>
          </w:hyperlink>
        </w:p>
        <w:p w14:paraId="2B21ED89" w14:textId="1C047425" w:rsidR="00BD6B00" w:rsidRDefault="006145E8">
          <w:pPr>
            <w:pStyle w:val="TOC1"/>
            <w:tabs>
              <w:tab w:val="left" w:pos="440"/>
              <w:tab w:val="right" w:leader="dot" w:pos="12950"/>
            </w:tabs>
            <w:rPr>
              <w:rFonts w:eastAsiaTheme="minorEastAsia"/>
              <w:noProof/>
              <w:lang w:val="en-IE" w:eastAsia="en-IE"/>
            </w:rPr>
          </w:pPr>
          <w:hyperlink w:anchor="_Toc112072887" w:history="1">
            <w:r w:rsidR="00BD6B00" w:rsidRPr="00D25823">
              <w:rPr>
                <w:rStyle w:val="Hyperlink"/>
                <w:noProof/>
              </w:rPr>
              <w:t>4</w:t>
            </w:r>
            <w:r w:rsidR="00BD6B00">
              <w:rPr>
                <w:rFonts w:eastAsiaTheme="minorEastAsia"/>
                <w:noProof/>
                <w:lang w:val="en-IE" w:eastAsia="en-IE"/>
              </w:rPr>
              <w:tab/>
            </w:r>
            <w:r w:rsidR="00BD6B00" w:rsidRPr="00D25823">
              <w:rPr>
                <w:rStyle w:val="Hyperlink"/>
                <w:noProof/>
              </w:rPr>
              <w:t>Eligible Activities</w:t>
            </w:r>
            <w:r w:rsidR="00BD6B00">
              <w:rPr>
                <w:noProof/>
                <w:webHidden/>
              </w:rPr>
              <w:tab/>
            </w:r>
            <w:r w:rsidR="00BD6B00">
              <w:rPr>
                <w:noProof/>
                <w:webHidden/>
              </w:rPr>
              <w:fldChar w:fldCharType="begin"/>
            </w:r>
            <w:r w:rsidR="00BD6B00">
              <w:rPr>
                <w:noProof/>
                <w:webHidden/>
              </w:rPr>
              <w:instrText xml:space="preserve"> PAGEREF _Toc112072887 \h </w:instrText>
            </w:r>
            <w:r w:rsidR="00BD6B00">
              <w:rPr>
                <w:noProof/>
                <w:webHidden/>
              </w:rPr>
            </w:r>
            <w:r w:rsidR="00BD6B00">
              <w:rPr>
                <w:noProof/>
                <w:webHidden/>
              </w:rPr>
              <w:fldChar w:fldCharType="separate"/>
            </w:r>
            <w:r w:rsidR="00BD6B00">
              <w:rPr>
                <w:noProof/>
                <w:webHidden/>
              </w:rPr>
              <w:t>3</w:t>
            </w:r>
            <w:r w:rsidR="00BD6B00">
              <w:rPr>
                <w:noProof/>
                <w:webHidden/>
              </w:rPr>
              <w:fldChar w:fldCharType="end"/>
            </w:r>
          </w:hyperlink>
        </w:p>
        <w:p w14:paraId="4FA263FB" w14:textId="2D090180" w:rsidR="00BD6B00" w:rsidRDefault="006145E8">
          <w:pPr>
            <w:pStyle w:val="TOC1"/>
            <w:tabs>
              <w:tab w:val="left" w:pos="440"/>
              <w:tab w:val="right" w:leader="dot" w:pos="12950"/>
            </w:tabs>
            <w:rPr>
              <w:rFonts w:eastAsiaTheme="minorEastAsia"/>
              <w:noProof/>
              <w:lang w:val="en-IE" w:eastAsia="en-IE"/>
            </w:rPr>
          </w:pPr>
          <w:hyperlink w:anchor="_Toc112072888" w:history="1">
            <w:r w:rsidR="00BD6B00" w:rsidRPr="00D25823">
              <w:rPr>
                <w:rStyle w:val="Hyperlink"/>
                <w:noProof/>
              </w:rPr>
              <w:t>5</w:t>
            </w:r>
            <w:r w:rsidR="00BD6B00">
              <w:rPr>
                <w:rFonts w:eastAsiaTheme="minorEastAsia"/>
                <w:noProof/>
                <w:lang w:val="en-IE" w:eastAsia="en-IE"/>
              </w:rPr>
              <w:tab/>
            </w:r>
            <w:r w:rsidR="00BD6B00" w:rsidRPr="00D25823">
              <w:rPr>
                <w:rStyle w:val="Hyperlink"/>
                <w:noProof/>
              </w:rPr>
              <w:t>Ineligible Activities / Costs</w:t>
            </w:r>
            <w:r w:rsidR="00BD6B00">
              <w:rPr>
                <w:noProof/>
                <w:webHidden/>
              </w:rPr>
              <w:tab/>
            </w:r>
            <w:r w:rsidR="00BD6B00">
              <w:rPr>
                <w:noProof/>
                <w:webHidden/>
              </w:rPr>
              <w:fldChar w:fldCharType="begin"/>
            </w:r>
            <w:r w:rsidR="00BD6B00">
              <w:rPr>
                <w:noProof/>
                <w:webHidden/>
              </w:rPr>
              <w:instrText xml:space="preserve"> PAGEREF _Toc112072888 \h </w:instrText>
            </w:r>
            <w:r w:rsidR="00BD6B00">
              <w:rPr>
                <w:noProof/>
                <w:webHidden/>
              </w:rPr>
            </w:r>
            <w:r w:rsidR="00BD6B00">
              <w:rPr>
                <w:noProof/>
                <w:webHidden/>
              </w:rPr>
              <w:fldChar w:fldCharType="separate"/>
            </w:r>
            <w:r w:rsidR="00BD6B00">
              <w:rPr>
                <w:noProof/>
                <w:webHidden/>
              </w:rPr>
              <w:t>7</w:t>
            </w:r>
            <w:r w:rsidR="00BD6B00">
              <w:rPr>
                <w:noProof/>
                <w:webHidden/>
              </w:rPr>
              <w:fldChar w:fldCharType="end"/>
            </w:r>
          </w:hyperlink>
        </w:p>
        <w:p w14:paraId="23E26B67" w14:textId="1E890AFD" w:rsidR="00BD6B00" w:rsidRDefault="006145E8">
          <w:pPr>
            <w:pStyle w:val="TOC1"/>
            <w:tabs>
              <w:tab w:val="left" w:pos="440"/>
              <w:tab w:val="right" w:leader="dot" w:pos="12950"/>
            </w:tabs>
            <w:rPr>
              <w:rFonts w:eastAsiaTheme="minorEastAsia"/>
              <w:noProof/>
              <w:lang w:val="en-IE" w:eastAsia="en-IE"/>
            </w:rPr>
          </w:pPr>
          <w:hyperlink w:anchor="_Toc112072889" w:history="1">
            <w:r w:rsidR="00BD6B00" w:rsidRPr="00D25823">
              <w:rPr>
                <w:rStyle w:val="Hyperlink"/>
                <w:noProof/>
              </w:rPr>
              <w:t>6</w:t>
            </w:r>
            <w:r w:rsidR="00BD6B00">
              <w:rPr>
                <w:rFonts w:eastAsiaTheme="minorEastAsia"/>
                <w:noProof/>
                <w:lang w:val="en-IE" w:eastAsia="en-IE"/>
              </w:rPr>
              <w:tab/>
            </w:r>
            <w:r w:rsidR="00BD6B00" w:rsidRPr="00D25823">
              <w:rPr>
                <w:rStyle w:val="Hyperlink"/>
                <w:noProof/>
              </w:rPr>
              <w:t xml:space="preserve">Environmental Legislation </w:t>
            </w:r>
            <w:r w:rsidR="00BD6B00" w:rsidRPr="00D25823">
              <w:rPr>
                <w:rStyle w:val="Hyperlink"/>
                <w:noProof/>
                <w:lang w:val="en-GB"/>
              </w:rPr>
              <w:t>&amp; Do No Significant Harm Compliance</w:t>
            </w:r>
            <w:r w:rsidR="00BD6B00">
              <w:rPr>
                <w:noProof/>
                <w:webHidden/>
              </w:rPr>
              <w:tab/>
            </w:r>
            <w:r w:rsidR="00BD6B00">
              <w:rPr>
                <w:noProof/>
                <w:webHidden/>
              </w:rPr>
              <w:fldChar w:fldCharType="begin"/>
            </w:r>
            <w:r w:rsidR="00BD6B00">
              <w:rPr>
                <w:noProof/>
                <w:webHidden/>
              </w:rPr>
              <w:instrText xml:space="preserve"> PAGEREF _Toc112072889 \h </w:instrText>
            </w:r>
            <w:r w:rsidR="00BD6B00">
              <w:rPr>
                <w:noProof/>
                <w:webHidden/>
              </w:rPr>
            </w:r>
            <w:r w:rsidR="00BD6B00">
              <w:rPr>
                <w:noProof/>
                <w:webHidden/>
              </w:rPr>
              <w:fldChar w:fldCharType="separate"/>
            </w:r>
            <w:r w:rsidR="00BD6B00">
              <w:rPr>
                <w:noProof/>
                <w:webHidden/>
              </w:rPr>
              <w:t>7</w:t>
            </w:r>
            <w:r w:rsidR="00BD6B00">
              <w:rPr>
                <w:noProof/>
                <w:webHidden/>
              </w:rPr>
              <w:fldChar w:fldCharType="end"/>
            </w:r>
          </w:hyperlink>
        </w:p>
        <w:p w14:paraId="4179F7BC" w14:textId="403F1261" w:rsidR="0023480E" w:rsidRDefault="001E70B0" w:rsidP="007032F1">
          <w:pPr>
            <w:spacing w:after="0"/>
            <w:ind w:right="-850"/>
            <w:rPr>
              <w:rFonts w:asciiTheme="majorHAnsi" w:eastAsiaTheme="majorEastAsia" w:hAnsiTheme="majorHAnsi" w:cstheme="majorBidi"/>
              <w:b/>
              <w:bCs/>
              <w:color w:val="2F5496" w:themeColor="accent1" w:themeShade="BF"/>
              <w:sz w:val="32"/>
              <w:szCs w:val="32"/>
            </w:rPr>
          </w:pPr>
          <w:r w:rsidRPr="001E70B0">
            <w:rPr>
              <w:rFonts w:asciiTheme="majorHAnsi" w:eastAsiaTheme="majorEastAsia" w:hAnsiTheme="majorHAnsi" w:cstheme="majorBidi"/>
              <w:color w:val="2F5496" w:themeColor="accent1" w:themeShade="BF"/>
              <w:sz w:val="32"/>
              <w:szCs w:val="32"/>
            </w:rPr>
            <w:fldChar w:fldCharType="end"/>
          </w:r>
        </w:p>
      </w:sdtContent>
    </w:sdt>
    <w:p w14:paraId="2C04983E" w14:textId="77777777" w:rsidR="00571B7E" w:rsidRDefault="00571B7E" w:rsidP="005B48E9">
      <w:pPr>
        <w:pStyle w:val="Heading1"/>
        <w:rPr>
          <w:rStyle w:val="Heading1Char"/>
        </w:rPr>
      </w:pPr>
    </w:p>
    <w:p w14:paraId="02E21160" w14:textId="77777777" w:rsidR="00DC6E02" w:rsidRPr="00DC6E02" w:rsidRDefault="00DC6E02" w:rsidP="00DC6E02"/>
    <w:p w14:paraId="149C6CA1" w14:textId="7DD99930" w:rsidR="00571B7E" w:rsidRDefault="00571B7E" w:rsidP="005B48E9">
      <w:pPr>
        <w:pStyle w:val="Heading1"/>
        <w:rPr>
          <w:rStyle w:val="Heading1Char"/>
        </w:rPr>
      </w:pPr>
    </w:p>
    <w:p w14:paraId="1FD6CFB5" w14:textId="0EEB239B" w:rsidR="00A30AC3" w:rsidRDefault="00A30AC3" w:rsidP="00A30AC3"/>
    <w:p w14:paraId="6DC1A468" w14:textId="38CD2557" w:rsidR="00A30AC3" w:rsidRDefault="00A30AC3" w:rsidP="00A30AC3"/>
    <w:p w14:paraId="311E4250" w14:textId="77777777" w:rsidR="00A30AC3" w:rsidRPr="00A30AC3" w:rsidRDefault="00A30AC3" w:rsidP="00A30AC3"/>
    <w:p w14:paraId="0E507CEA" w14:textId="77777777" w:rsidR="00571B7E" w:rsidRDefault="00571B7E" w:rsidP="00CE3E27">
      <w:pPr>
        <w:spacing w:after="0"/>
        <w:ind w:right="-850"/>
      </w:pPr>
    </w:p>
    <w:p w14:paraId="71817340" w14:textId="2466D468" w:rsidR="00571B7E" w:rsidRDefault="00571B7E" w:rsidP="00571B7E">
      <w:pPr>
        <w:pStyle w:val="Heading1"/>
      </w:pPr>
      <w:bookmarkStart w:id="0" w:name="_Toc112072884"/>
      <w:r>
        <w:lastRenderedPageBreak/>
        <w:t>1</w:t>
      </w:r>
      <w:r>
        <w:tab/>
        <w:t>Application Process</w:t>
      </w:r>
      <w:bookmarkEnd w:id="0"/>
    </w:p>
    <w:p w14:paraId="68168E4B" w14:textId="3E4208FA" w:rsidR="009B64EB" w:rsidRDefault="009B64EB" w:rsidP="00571B7E">
      <w:pPr>
        <w:spacing w:after="0"/>
        <w:ind w:left="-850" w:right="-850"/>
      </w:pPr>
      <w:r>
        <w:t>1.1</w:t>
      </w:r>
      <w:r>
        <w:tab/>
        <w:t xml:space="preserve">The company contacts their Enterprise Ireland Development Advisor to discuss their eligibility for GreenStart funding support.  </w:t>
      </w:r>
    </w:p>
    <w:p w14:paraId="445DB8B3" w14:textId="77777777" w:rsidR="009B64EB" w:rsidRDefault="009B64EB" w:rsidP="00BE1525">
      <w:pPr>
        <w:spacing w:after="0"/>
        <w:ind w:left="-850" w:right="-850"/>
      </w:pPr>
      <w:r>
        <w:t>1.2</w:t>
      </w:r>
      <w:r>
        <w:tab/>
        <w:t>The company may be invited to apply online for GreenStart funding.</w:t>
      </w:r>
    </w:p>
    <w:p w14:paraId="3805B116" w14:textId="53165E8F" w:rsidR="00204396" w:rsidRDefault="00204396" w:rsidP="00204396">
      <w:pPr>
        <w:spacing w:after="0"/>
        <w:ind w:right="-850" w:hanging="850"/>
      </w:pPr>
      <w:r>
        <w:t>1.3</w:t>
      </w:r>
      <w:r>
        <w:tab/>
        <w:t xml:space="preserve">As part of the application, applicants must provide an </w:t>
      </w:r>
      <w:r w:rsidRPr="00781BBE">
        <w:t xml:space="preserve">Organisational Carbon Footprint through completion of the </w:t>
      </w:r>
      <w:hyperlink r:id="rId13" w:history="1">
        <w:r>
          <w:rPr>
            <w:color w:val="0000FF"/>
            <w:u w:val="single"/>
          </w:rPr>
          <w:t>Climate Toolkit 4 Business Carbon Calculator</w:t>
        </w:r>
      </w:hyperlink>
      <w:r>
        <w:t xml:space="preserve"> / GHG protocol / ISO 14064-1 / similar.</w:t>
      </w:r>
    </w:p>
    <w:p w14:paraId="5A83829E" w14:textId="32BE832A" w:rsidR="009B64EB" w:rsidRDefault="009B64EB" w:rsidP="00BE1525">
      <w:pPr>
        <w:spacing w:after="0"/>
        <w:ind w:left="-850" w:right="-850"/>
      </w:pPr>
      <w:r>
        <w:t>1.</w:t>
      </w:r>
      <w:r w:rsidR="00E74F87">
        <w:t>4</w:t>
      </w:r>
      <w:r>
        <w:tab/>
        <w:t>Applications are subject to an evaluation process.</w:t>
      </w:r>
    </w:p>
    <w:p w14:paraId="0236CE34" w14:textId="048114BD" w:rsidR="009B64EB" w:rsidRDefault="009B64EB" w:rsidP="00BE1525">
      <w:pPr>
        <w:spacing w:after="0"/>
        <w:ind w:left="-850" w:right="-850"/>
      </w:pPr>
      <w:r>
        <w:t>1.</w:t>
      </w:r>
      <w:r w:rsidR="00E74F87">
        <w:t>5</w:t>
      </w:r>
      <w:r>
        <w:tab/>
        <w:t xml:space="preserve">The client will be notified of the decision, normally within 3 - 4 weeks. </w:t>
      </w:r>
    </w:p>
    <w:p w14:paraId="0B915C76" w14:textId="52DCDCA9" w:rsidR="009B64EB" w:rsidRDefault="009B64EB" w:rsidP="00BE1525">
      <w:pPr>
        <w:spacing w:after="0"/>
        <w:ind w:left="-850" w:right="-850"/>
      </w:pPr>
      <w:r>
        <w:t>1.</w:t>
      </w:r>
      <w:r w:rsidR="00E74F87">
        <w:t>6</w:t>
      </w:r>
      <w:r>
        <w:tab/>
        <w:t xml:space="preserve">On approval, a ‘Letter of Offer’ will be emailed to the company. </w:t>
      </w:r>
    </w:p>
    <w:p w14:paraId="6294DDDB" w14:textId="6420A859" w:rsidR="009B64EB" w:rsidRDefault="009B64EB" w:rsidP="00BE1525">
      <w:pPr>
        <w:spacing w:after="0"/>
        <w:ind w:left="-850" w:right="-850"/>
      </w:pPr>
      <w:r>
        <w:t>1.</w:t>
      </w:r>
      <w:r w:rsidR="00E74F87">
        <w:t>7</w:t>
      </w:r>
      <w:r>
        <w:t xml:space="preserve"> </w:t>
      </w:r>
      <w:r>
        <w:tab/>
        <w:t>To accept the offer the Letter must be signed and returned by the company’s Authorised Officer.</w:t>
      </w:r>
    </w:p>
    <w:p w14:paraId="730B439E" w14:textId="699933B0" w:rsidR="009B64EB" w:rsidRDefault="009B64EB" w:rsidP="009E5614">
      <w:pPr>
        <w:spacing w:after="0"/>
        <w:ind w:left="-850" w:right="-850"/>
      </w:pPr>
      <w:r>
        <w:t>1.</w:t>
      </w:r>
      <w:r w:rsidR="00E74F87">
        <w:t>8</w:t>
      </w:r>
      <w:r>
        <w:tab/>
        <w:t>The assignment can then commence.</w:t>
      </w:r>
    </w:p>
    <w:p w14:paraId="4F1ED885" w14:textId="77777777" w:rsidR="009E5614" w:rsidRDefault="009E5614" w:rsidP="009E5614">
      <w:pPr>
        <w:spacing w:after="0"/>
        <w:ind w:left="-850" w:right="-850"/>
      </w:pPr>
    </w:p>
    <w:p w14:paraId="122DF88A" w14:textId="77777777" w:rsidR="009B64EB" w:rsidRDefault="009B64EB" w:rsidP="00BE1525">
      <w:pPr>
        <w:spacing w:after="0"/>
        <w:ind w:left="-850" w:right="-850"/>
      </w:pPr>
      <w:r>
        <w:t>The following information is required in the Application form:</w:t>
      </w:r>
    </w:p>
    <w:p w14:paraId="08A48E98" w14:textId="6A2CE74C" w:rsidR="009B64EB" w:rsidRDefault="00257105" w:rsidP="00BE1525">
      <w:pPr>
        <w:spacing w:after="0"/>
        <w:ind w:left="-850" w:right="-850"/>
      </w:pPr>
      <w:r>
        <w:t>i</w:t>
      </w:r>
      <w:r w:rsidR="009E5614">
        <w:t xml:space="preserve"> </w:t>
      </w:r>
      <w:r w:rsidR="009B64EB">
        <w:t>Company background</w:t>
      </w:r>
    </w:p>
    <w:p w14:paraId="2BFF0322" w14:textId="12251A6F" w:rsidR="009B64EB" w:rsidRDefault="009B64EB" w:rsidP="00BE1525">
      <w:pPr>
        <w:spacing w:after="0"/>
        <w:ind w:left="-850" w:right="-850"/>
      </w:pPr>
      <w:r>
        <w:t>ii</w:t>
      </w:r>
      <w:r>
        <w:tab/>
        <w:t>Project details (to include</w:t>
      </w:r>
      <w:r w:rsidR="00531DE6">
        <w:t xml:space="preserve"> brief</w:t>
      </w:r>
      <w:r>
        <w:t xml:space="preserve"> details of any previous </w:t>
      </w:r>
      <w:r w:rsidR="001B133A">
        <w:t>Climate Action Voucher/</w:t>
      </w:r>
      <w:r>
        <w:t xml:space="preserve">GreenStart/GreenPlus Assignments) </w:t>
      </w:r>
    </w:p>
    <w:p w14:paraId="712805BE" w14:textId="44925BAE" w:rsidR="009B64EB" w:rsidRDefault="009B64EB" w:rsidP="00BE1525">
      <w:pPr>
        <w:spacing w:after="0"/>
        <w:ind w:left="-850" w:right="-850"/>
      </w:pPr>
      <w:r>
        <w:t>iii</w:t>
      </w:r>
      <w:r w:rsidR="009E5614">
        <w:t xml:space="preserve"> </w:t>
      </w:r>
      <w:r>
        <w:t xml:space="preserve">A breakdown of tasks/activities to be undertaken during the project. This section should include details of internal and or external persons </w:t>
      </w:r>
      <w:r w:rsidR="001A1F99">
        <w:t xml:space="preserve">(service provider) </w:t>
      </w:r>
      <w:r>
        <w:t>responsible for undertaking the tasks.</w:t>
      </w:r>
    </w:p>
    <w:p w14:paraId="776FCCB1" w14:textId="7520F443" w:rsidR="009B64EB" w:rsidRDefault="00257105" w:rsidP="009E5614">
      <w:pPr>
        <w:spacing w:after="0"/>
        <w:ind w:left="-850" w:right="-850"/>
      </w:pPr>
      <w:r>
        <w:t>i</w:t>
      </w:r>
      <w:r w:rsidR="009B64EB">
        <w:t>v</w:t>
      </w:r>
      <w:r w:rsidR="009E5614">
        <w:t xml:space="preserve"> </w:t>
      </w:r>
      <w:r w:rsidR="009B64EB">
        <w:t>Details on how the project will impact on the company’s development in terms of new sales, exports, new investment/expansion or job creation (2000 chars)</w:t>
      </w:r>
    </w:p>
    <w:p w14:paraId="5E8F24E5" w14:textId="77777777" w:rsidR="009E5614" w:rsidRDefault="009E5614" w:rsidP="009E5614">
      <w:pPr>
        <w:spacing w:after="0"/>
        <w:ind w:left="-850" w:right="-850"/>
      </w:pPr>
    </w:p>
    <w:p w14:paraId="62C64F06" w14:textId="7D2273C2" w:rsidR="009B64EB" w:rsidRDefault="009B64EB" w:rsidP="005B48E9">
      <w:pPr>
        <w:pStyle w:val="Heading1"/>
      </w:pPr>
      <w:bookmarkStart w:id="1" w:name="_Toc112072885"/>
      <w:r>
        <w:rPr>
          <w:rStyle w:val="Heading1Char"/>
        </w:rPr>
        <w:t>2</w:t>
      </w:r>
      <w:r w:rsidR="005B48E9">
        <w:tab/>
      </w:r>
      <w:r w:rsidRPr="009B64EB">
        <w:rPr>
          <w:rStyle w:val="Heading1Char"/>
        </w:rPr>
        <w:t>Assignment Costs / Duration</w:t>
      </w:r>
      <w:bookmarkEnd w:id="1"/>
      <w:r w:rsidRPr="009B64EB">
        <w:rPr>
          <w:rStyle w:val="Heading1Char"/>
        </w:rPr>
        <w:t xml:space="preserve">  </w:t>
      </w:r>
    </w:p>
    <w:p w14:paraId="48769D1A" w14:textId="435CB52C" w:rsidR="009B64EB" w:rsidRDefault="009B64EB" w:rsidP="009E5614">
      <w:pPr>
        <w:spacing w:after="0"/>
        <w:ind w:right="-850" w:hanging="850"/>
      </w:pPr>
      <w:r>
        <w:t>2.1</w:t>
      </w:r>
      <w:r w:rsidR="009E5614">
        <w:tab/>
      </w:r>
      <w:r>
        <w:t xml:space="preserve">A GreenStart Assignment will typically be </w:t>
      </w:r>
      <w:r w:rsidR="0002379F">
        <w:t>6 - 9</w:t>
      </w:r>
      <w:r>
        <w:t xml:space="preserve"> months in duration. The ‘Final Claim Date’ is given on the ‘Letter of Offer’ and is 12 months from the ‘Letter of Offer’ date.</w:t>
      </w:r>
    </w:p>
    <w:p w14:paraId="0975BAA7" w14:textId="7DE59A3D" w:rsidR="009B64EB" w:rsidRDefault="009B64EB" w:rsidP="009E5614">
      <w:pPr>
        <w:spacing w:after="0"/>
        <w:ind w:left="-850" w:right="-850"/>
      </w:pPr>
      <w:r>
        <w:t>2.2</w:t>
      </w:r>
      <w:r>
        <w:tab/>
        <w:t>Eligible costs are</w:t>
      </w:r>
      <w:r w:rsidR="00757AA2">
        <w:t xml:space="preserve"> external</w:t>
      </w:r>
      <w:r w:rsidR="00EE1D1E">
        <w:t xml:space="preserve"> training advisory costs</w:t>
      </w:r>
      <w:r>
        <w:t xml:space="preserve"> capped at €900 per day inclusive of travel and subsistence and all out of pocket expenses.</w:t>
      </w:r>
    </w:p>
    <w:p w14:paraId="048641BC" w14:textId="0C90048F" w:rsidR="009B64EB" w:rsidRDefault="009B64EB" w:rsidP="009E5614">
      <w:pPr>
        <w:spacing w:after="0"/>
        <w:ind w:left="-850" w:right="-850"/>
      </w:pPr>
      <w:r>
        <w:t>2.3</w:t>
      </w:r>
      <w:r>
        <w:tab/>
        <w:t>Total project cost up to €6,300</w:t>
      </w:r>
      <w:r w:rsidR="00BF3BDA">
        <w:t xml:space="preserve"> plus VAT</w:t>
      </w:r>
      <w:r>
        <w:t>, maximum EI grant up to €5,000</w:t>
      </w:r>
      <w:r w:rsidR="00BF3BDA">
        <w:t xml:space="preserve"> ex VAT</w:t>
      </w:r>
      <w:r>
        <w:t>.</w:t>
      </w:r>
    </w:p>
    <w:p w14:paraId="2D946B17" w14:textId="77777777" w:rsidR="009B64EB" w:rsidRDefault="009B64EB" w:rsidP="009E5614">
      <w:pPr>
        <w:spacing w:after="0"/>
        <w:ind w:left="-850" w:right="-850"/>
      </w:pPr>
      <w:r>
        <w:t>2.4</w:t>
      </w:r>
      <w:r>
        <w:tab/>
        <w:t>It is the responsibility of the company to claim the GreenStart funding support.</w:t>
      </w:r>
    </w:p>
    <w:p w14:paraId="71B54FB0" w14:textId="14EDB79E" w:rsidR="009E5614" w:rsidRDefault="009B64EB" w:rsidP="009E5614">
      <w:pPr>
        <w:spacing w:after="0"/>
        <w:ind w:left="-850" w:right="-850"/>
      </w:pPr>
      <w:r>
        <w:t>2.5</w:t>
      </w:r>
      <w:r>
        <w:tab/>
        <w:t>The company is responsible for the payment of the green service provider’s fee</w:t>
      </w:r>
      <w:r w:rsidR="009B24A8">
        <w:t xml:space="preserve"> before making a claim (proof of payment will be required)</w:t>
      </w:r>
      <w:r>
        <w:t>.</w:t>
      </w:r>
    </w:p>
    <w:p w14:paraId="2B23B5BB" w14:textId="77777777" w:rsidR="009E5614" w:rsidRDefault="009E5614" w:rsidP="009E5614">
      <w:pPr>
        <w:spacing w:after="0"/>
        <w:ind w:left="-850" w:right="-850"/>
      </w:pPr>
    </w:p>
    <w:p w14:paraId="7B737650" w14:textId="6EE6BC9C" w:rsidR="009B64EB" w:rsidRDefault="009B64EB" w:rsidP="005B48E9">
      <w:pPr>
        <w:pStyle w:val="Heading1"/>
      </w:pPr>
      <w:bookmarkStart w:id="2" w:name="_Toc112072886"/>
      <w:bookmarkStart w:id="3" w:name="_Hlk57124046"/>
      <w:r>
        <w:rPr>
          <w:rStyle w:val="Heading1Char"/>
        </w:rPr>
        <w:t>3</w:t>
      </w:r>
      <w:r w:rsidR="005B48E9">
        <w:tab/>
      </w:r>
      <w:r w:rsidRPr="009B64EB">
        <w:rPr>
          <w:rStyle w:val="Heading1Char"/>
        </w:rPr>
        <w:t>Pro</w:t>
      </w:r>
      <w:r w:rsidR="00975390">
        <w:rPr>
          <w:rStyle w:val="Heading1Char"/>
        </w:rPr>
        <w:t>gress</w:t>
      </w:r>
      <w:r w:rsidRPr="009B64EB">
        <w:rPr>
          <w:rStyle w:val="Heading1Char"/>
        </w:rPr>
        <w:t xml:space="preserve"> Report &amp; Claim</w:t>
      </w:r>
      <w:bookmarkEnd w:id="2"/>
    </w:p>
    <w:bookmarkEnd w:id="3"/>
    <w:p w14:paraId="049D9ACE" w14:textId="49DC32F1" w:rsidR="00C206F8" w:rsidRDefault="009B64EB" w:rsidP="00C206F8">
      <w:pPr>
        <w:spacing w:after="0"/>
        <w:ind w:right="-850" w:hanging="850"/>
        <w:rPr>
          <w:color w:val="0000FF"/>
          <w:u w:val="single"/>
        </w:rPr>
      </w:pPr>
      <w:r>
        <w:t>3.</w:t>
      </w:r>
      <w:r w:rsidR="0099451A">
        <w:t>1</w:t>
      </w:r>
      <w:r>
        <w:tab/>
      </w:r>
      <w:r w:rsidR="00C206F8">
        <w:t>The company downloads the ‘G</w:t>
      </w:r>
      <w:r w:rsidR="005D19FB">
        <w:t xml:space="preserve">reenStart Claim Checklist, Directors Statement and Progress </w:t>
      </w:r>
      <w:r w:rsidR="00C206F8">
        <w:t>Report’ on</w:t>
      </w:r>
      <w:r w:rsidR="00C206F8" w:rsidRPr="007B0F92">
        <w:t xml:space="preserve"> </w:t>
      </w:r>
      <w:r w:rsidR="00A71D9D">
        <w:t xml:space="preserve">the </w:t>
      </w:r>
      <w:hyperlink r:id="rId14" w:history="1">
        <w:r w:rsidR="004A060C">
          <w:rPr>
            <w:rStyle w:val="Hyperlink"/>
          </w:rPr>
          <w:t>GreenStart Claim page</w:t>
        </w:r>
      </w:hyperlink>
      <w:r w:rsidR="00A71D9D">
        <w:t xml:space="preserve"> </w:t>
      </w:r>
    </w:p>
    <w:p w14:paraId="6FEFE2E4" w14:textId="67F7BAA0" w:rsidR="000A00DC" w:rsidRPr="004A060C" w:rsidRDefault="00C206F8" w:rsidP="004A060C">
      <w:pPr>
        <w:spacing w:after="0"/>
        <w:ind w:right="-850" w:hanging="850"/>
      </w:pPr>
      <w:r w:rsidRPr="009450A9">
        <w:t>3.2</w:t>
      </w:r>
      <w:r w:rsidRPr="009450A9">
        <w:tab/>
      </w:r>
      <w:r>
        <w:t xml:space="preserve">The company emails </w:t>
      </w:r>
      <w:r w:rsidR="00620DBA">
        <w:t xml:space="preserve">the </w:t>
      </w:r>
      <w:r w:rsidR="006F02CC">
        <w:t>completed</w:t>
      </w:r>
      <w:r>
        <w:t xml:space="preserve"> Claim </w:t>
      </w:r>
      <w:r w:rsidRPr="005E681C">
        <w:t xml:space="preserve">Documentation to </w:t>
      </w:r>
      <w:hyperlink r:id="rId15" w:history="1">
        <w:r w:rsidRPr="00846C19">
          <w:rPr>
            <w:rStyle w:val="Hyperlink"/>
          </w:rPr>
          <w:t>IndustryGrantClaims@enterprise-ireland.com</w:t>
        </w:r>
      </w:hyperlink>
      <w:r>
        <w:t xml:space="preserve"> </w:t>
      </w:r>
      <w:r w:rsidRPr="005E681C">
        <w:t>prior to the Final Claim Date</w:t>
      </w:r>
      <w:r>
        <w:t>.</w:t>
      </w:r>
    </w:p>
    <w:p w14:paraId="3DE4E30D" w14:textId="09E8C794" w:rsidR="001A1F99" w:rsidRPr="005B48E9" w:rsidRDefault="001A1F99" w:rsidP="005B48E9">
      <w:pPr>
        <w:pStyle w:val="Heading1"/>
        <w:rPr>
          <w:rStyle w:val="Heading1Char"/>
        </w:rPr>
      </w:pPr>
      <w:bookmarkStart w:id="4" w:name="_Toc112072887"/>
      <w:bookmarkStart w:id="5" w:name="_Hlk57123929"/>
      <w:r w:rsidRPr="005B48E9">
        <w:rPr>
          <w:rStyle w:val="Heading1Char"/>
        </w:rPr>
        <w:lastRenderedPageBreak/>
        <w:t>4</w:t>
      </w:r>
      <w:r w:rsidR="005B48E9" w:rsidRPr="005B48E9">
        <w:tab/>
      </w:r>
      <w:r w:rsidR="005E390B" w:rsidRPr="005B48E9">
        <w:rPr>
          <w:rStyle w:val="Heading1Char"/>
        </w:rPr>
        <w:t>Eligible Activities</w:t>
      </w:r>
      <w:bookmarkEnd w:id="4"/>
    </w:p>
    <w:bookmarkEnd w:id="5"/>
    <w:p w14:paraId="41D05ADC" w14:textId="77777777" w:rsidR="006373D3" w:rsidRDefault="006373D3" w:rsidP="00477DD1">
      <w:pPr>
        <w:spacing w:after="0"/>
        <w:ind w:left="-850" w:right="-850"/>
      </w:pPr>
    </w:p>
    <w:p w14:paraId="2C802ED9" w14:textId="16577528" w:rsidR="00D336F4" w:rsidRDefault="001A1F99" w:rsidP="00BB444B">
      <w:pPr>
        <w:spacing w:after="0"/>
        <w:ind w:left="-850" w:right="-850"/>
      </w:pPr>
      <w:r>
        <w:t xml:space="preserve">GreenStart is a </w:t>
      </w:r>
      <w:r w:rsidRPr="001A1F99">
        <w:rPr>
          <w:b/>
          <w:bCs/>
        </w:rPr>
        <w:t>training/advisory</w:t>
      </w:r>
      <w:r>
        <w:t xml:space="preserve"> project of up to 7 days carried out by an external Green Service Provider directly with an eligible company.</w:t>
      </w:r>
      <w:r w:rsidR="009607E0">
        <w:t xml:space="preserve"> </w:t>
      </w:r>
      <w:r w:rsidR="003F140D" w:rsidRPr="003F140D">
        <w:t>An internal company green project team</w:t>
      </w:r>
      <w:r w:rsidR="009550D4">
        <w:t>/champion</w:t>
      </w:r>
      <w:r w:rsidR="003F140D" w:rsidRPr="003F140D">
        <w:t xml:space="preserve"> is identified to embed projects.</w:t>
      </w:r>
      <w:r w:rsidR="009550D4">
        <w:t xml:space="preserve"> </w:t>
      </w:r>
      <w:r w:rsidRPr="002E6A4D">
        <w:t xml:space="preserve">The Service Provider provides training, advice and guidance to the </w:t>
      </w:r>
      <w:r w:rsidRPr="00790BCD">
        <w:rPr>
          <w:b/>
          <w:bCs/>
        </w:rPr>
        <w:t>company green team</w:t>
      </w:r>
      <w:r w:rsidRPr="002E6A4D">
        <w:t xml:space="preserve"> on</w:t>
      </w:r>
      <w:r w:rsidRPr="001A1F99">
        <w:rPr>
          <w:b/>
          <w:bCs/>
        </w:rPr>
        <w:t xml:space="preserve"> </w:t>
      </w:r>
      <w:r w:rsidRPr="00613536">
        <w:rPr>
          <w:b/>
          <w:bCs/>
        </w:rPr>
        <w:t>one or more activities</w:t>
      </w:r>
      <w:r w:rsidRPr="001A1F99">
        <w:rPr>
          <w:b/>
          <w:bCs/>
        </w:rPr>
        <w:t xml:space="preserve"> </w:t>
      </w:r>
      <w:r w:rsidRPr="002E6A4D">
        <w:t>as outlined in Sections 4.1 – 4.1</w:t>
      </w:r>
      <w:r w:rsidR="00DE78C9">
        <w:t>9</w:t>
      </w:r>
      <w:r w:rsidRPr="002E6A4D">
        <w:t>.</w:t>
      </w:r>
      <w:r w:rsidR="00C15EA7">
        <w:t xml:space="preserve"> </w:t>
      </w:r>
      <w:r w:rsidR="005033DE">
        <w:t xml:space="preserve">Projects </w:t>
      </w:r>
      <w:r w:rsidR="00DB2FEF">
        <w:t>may</w:t>
      </w:r>
      <w:r w:rsidR="005009A9">
        <w:t xml:space="preserve"> be a </w:t>
      </w:r>
      <w:r w:rsidR="00DB2FEF">
        <w:t>combination</w:t>
      </w:r>
      <w:r w:rsidR="005009A9">
        <w:t xml:space="preserve"> of activities as outlined below</w:t>
      </w:r>
      <w:r w:rsidR="00721E8D">
        <w:t xml:space="preserve"> e.g. Environmental </w:t>
      </w:r>
      <w:r w:rsidR="00DB2FEF">
        <w:t>Management &amp; carbon footprinting</w:t>
      </w:r>
      <w:r w:rsidR="00742448">
        <w:t>.</w:t>
      </w:r>
    </w:p>
    <w:p w14:paraId="13AB62DE" w14:textId="77777777" w:rsidR="00F0119B" w:rsidRDefault="00F0119B" w:rsidP="00AA0210">
      <w:pPr>
        <w:spacing w:after="0"/>
        <w:ind w:right="-850"/>
      </w:pPr>
    </w:p>
    <w:p w14:paraId="532D0CC8" w14:textId="798ECB01" w:rsidR="00C93599" w:rsidRPr="000B19B5" w:rsidRDefault="00A72447" w:rsidP="000B19B5">
      <w:pPr>
        <w:spacing w:after="0"/>
        <w:ind w:left="-850" w:right="-850"/>
        <w:rPr>
          <w:i/>
          <w:iCs/>
        </w:rPr>
      </w:pPr>
      <w:r w:rsidRPr="00E315B6">
        <w:rPr>
          <w:i/>
          <w:iCs/>
        </w:rPr>
        <w:t>C</w:t>
      </w:r>
      <w:r w:rsidR="00405CD8" w:rsidRPr="00E315B6">
        <w:rPr>
          <w:i/>
          <w:iCs/>
        </w:rPr>
        <w:t xml:space="preserve">ompanies at the early stages of their </w:t>
      </w:r>
      <w:r w:rsidRPr="00E315B6">
        <w:rPr>
          <w:i/>
          <w:iCs/>
        </w:rPr>
        <w:t>green journey are</w:t>
      </w:r>
      <w:r w:rsidR="00D92D89" w:rsidRPr="00E315B6">
        <w:rPr>
          <w:i/>
          <w:iCs/>
        </w:rPr>
        <w:t xml:space="preserve"> recommended </w:t>
      </w:r>
      <w:r w:rsidR="00164A12" w:rsidRPr="00E315B6">
        <w:rPr>
          <w:i/>
          <w:iCs/>
        </w:rPr>
        <w:t>to</w:t>
      </w:r>
      <w:r w:rsidR="00FD5E15" w:rsidRPr="00E315B6">
        <w:rPr>
          <w:i/>
          <w:iCs/>
        </w:rPr>
        <w:t xml:space="preserve"> </w:t>
      </w:r>
    </w:p>
    <w:p w14:paraId="20676375" w14:textId="45B4A61F" w:rsidR="00C062E9" w:rsidRPr="00E315B6" w:rsidRDefault="00311282" w:rsidP="000D4499">
      <w:pPr>
        <w:pStyle w:val="ListParagraph"/>
        <w:numPr>
          <w:ilvl w:val="0"/>
          <w:numId w:val="19"/>
        </w:numPr>
        <w:spacing w:after="0"/>
        <w:ind w:right="-850"/>
        <w:rPr>
          <w:i/>
          <w:iCs/>
        </w:rPr>
      </w:pPr>
      <w:r w:rsidRPr="00E315B6">
        <w:rPr>
          <w:i/>
          <w:iCs/>
        </w:rPr>
        <w:t>Avail of</w:t>
      </w:r>
      <w:r w:rsidR="00C9283F" w:rsidRPr="00E315B6">
        <w:rPr>
          <w:i/>
          <w:iCs/>
        </w:rPr>
        <w:t xml:space="preserve"> energy</w:t>
      </w:r>
      <w:r w:rsidRPr="00E315B6">
        <w:rPr>
          <w:i/>
          <w:iCs/>
        </w:rPr>
        <w:t xml:space="preserve"> training </w:t>
      </w:r>
      <w:r w:rsidR="002D28EB" w:rsidRPr="00E315B6">
        <w:rPr>
          <w:i/>
          <w:iCs/>
        </w:rPr>
        <w:t>on</w:t>
      </w:r>
      <w:r w:rsidR="00C93599" w:rsidRPr="00E315B6">
        <w:rPr>
          <w:i/>
          <w:iCs/>
        </w:rPr>
        <w:t xml:space="preserve"> </w:t>
      </w:r>
      <w:hyperlink r:id="rId16" w:history="1">
        <w:r w:rsidR="00C93599" w:rsidRPr="00E315B6">
          <w:rPr>
            <w:i/>
            <w:iCs/>
            <w:color w:val="0000FF"/>
          </w:rPr>
          <w:t>SEAI Energy Academy</w:t>
        </w:r>
      </w:hyperlink>
      <w:r w:rsidR="003E1207" w:rsidRPr="00E315B6">
        <w:rPr>
          <w:i/>
          <w:iCs/>
          <w:color w:val="0000FF"/>
        </w:rPr>
        <w:t xml:space="preserve"> </w:t>
      </w:r>
    </w:p>
    <w:p w14:paraId="748A9CD0" w14:textId="7D152E40" w:rsidR="00F0119B" w:rsidRPr="00E315B6" w:rsidRDefault="00C062E9" w:rsidP="00300A3F">
      <w:pPr>
        <w:pStyle w:val="ListParagraph"/>
        <w:numPr>
          <w:ilvl w:val="0"/>
          <w:numId w:val="19"/>
        </w:numPr>
        <w:spacing w:after="0"/>
        <w:ind w:right="-850"/>
        <w:rPr>
          <w:i/>
          <w:iCs/>
        </w:rPr>
      </w:pPr>
      <w:r w:rsidRPr="00E315B6">
        <w:rPr>
          <w:i/>
          <w:iCs/>
        </w:rPr>
        <w:t>Carry out an energy audit -</w:t>
      </w:r>
      <w:r w:rsidR="007B18B0" w:rsidRPr="00E315B6">
        <w:rPr>
          <w:i/>
          <w:iCs/>
        </w:rPr>
        <w:t xml:space="preserve"> S</w:t>
      </w:r>
      <w:r w:rsidR="00311282" w:rsidRPr="00E315B6">
        <w:rPr>
          <w:i/>
          <w:iCs/>
        </w:rPr>
        <w:t xml:space="preserve">MEs with an energy spend &gt;€10,000/annum </w:t>
      </w:r>
      <w:r w:rsidR="00103DFF" w:rsidRPr="00E315B6">
        <w:rPr>
          <w:i/>
          <w:iCs/>
        </w:rPr>
        <w:t>that are not already mandated to get an audit</w:t>
      </w:r>
      <w:r w:rsidR="00311282" w:rsidRPr="00E315B6">
        <w:rPr>
          <w:i/>
          <w:iCs/>
        </w:rPr>
        <w:t xml:space="preserve"> are eligible for €2000 voucher towards an </w:t>
      </w:r>
      <w:hyperlink r:id="rId17" w:history="1">
        <w:r w:rsidR="003E1207" w:rsidRPr="00E315B6">
          <w:rPr>
            <w:i/>
            <w:iCs/>
            <w:color w:val="0000FF"/>
          </w:rPr>
          <w:t>SEAI Energy Audit</w:t>
        </w:r>
      </w:hyperlink>
      <w:r w:rsidR="003E1207" w:rsidRPr="00E315B6">
        <w:rPr>
          <w:i/>
          <w:iCs/>
        </w:rPr>
        <w:t xml:space="preserve"> </w:t>
      </w:r>
    </w:p>
    <w:p w14:paraId="40ACC1FD" w14:textId="77777777" w:rsidR="00F0119B" w:rsidRDefault="00F0119B" w:rsidP="00F0119B">
      <w:pPr>
        <w:spacing w:after="0"/>
        <w:ind w:left="-850" w:right="-850"/>
      </w:pPr>
    </w:p>
    <w:p w14:paraId="53C1B199" w14:textId="77777777" w:rsidR="00DE24D9" w:rsidRDefault="00F0119B" w:rsidP="00F0119B">
      <w:pPr>
        <w:spacing w:after="0"/>
        <w:ind w:left="-850" w:right="-850"/>
      </w:pPr>
      <w:r>
        <w:t>GreenStart is open to companies who do not already have a GreenStart/Plus project under way. A</w:t>
      </w:r>
      <w:r w:rsidRPr="00D3641B">
        <w:t xml:space="preserve"> follow-on GreenStart project </w:t>
      </w:r>
      <w:r w:rsidRPr="00B64CE4">
        <w:rPr>
          <w:b/>
          <w:bCs/>
        </w:rPr>
        <w:t>may</w:t>
      </w:r>
      <w:r w:rsidRPr="00D3641B">
        <w:t xml:space="preserve"> be approved subject to the project bringing the company on a further </w:t>
      </w:r>
      <w:r w:rsidRPr="0005330E">
        <w:rPr>
          <w:b/>
          <w:bCs/>
        </w:rPr>
        <w:t>significant step up in terms of capability</w:t>
      </w:r>
      <w:r w:rsidRPr="00D3641B">
        <w:t xml:space="preserve"> rather than effectively continuing on with similar or closely related work. There is an absolute limit of 3 GreenStart project approvals per company</w:t>
      </w:r>
      <w:r>
        <w:t>.</w:t>
      </w:r>
      <w:r w:rsidR="00DE24D9">
        <w:t xml:space="preserve"> </w:t>
      </w:r>
    </w:p>
    <w:p w14:paraId="4374E75D" w14:textId="77777777" w:rsidR="007764B3" w:rsidRPr="00166B45" w:rsidRDefault="007764B3" w:rsidP="00B93E11">
      <w:pPr>
        <w:spacing w:after="0"/>
        <w:ind w:right="-850"/>
      </w:pPr>
    </w:p>
    <w:tbl>
      <w:tblPr>
        <w:tblStyle w:val="TableGrid"/>
        <w:tblW w:w="14879" w:type="dxa"/>
        <w:tblInd w:w="-1134" w:type="dxa"/>
        <w:tblLook w:val="04A0" w:firstRow="1" w:lastRow="0" w:firstColumn="1" w:lastColumn="0" w:noHBand="0" w:noVBand="1"/>
      </w:tblPr>
      <w:tblGrid>
        <w:gridCol w:w="14879"/>
      </w:tblGrid>
      <w:tr w:rsidR="001A1F99" w14:paraId="5359E63C" w14:textId="77777777" w:rsidTr="7DEB5AAD">
        <w:tc>
          <w:tcPr>
            <w:tcW w:w="14879" w:type="dxa"/>
          </w:tcPr>
          <w:p w14:paraId="4C047805" w14:textId="5ECB1336" w:rsidR="001A1F99" w:rsidRPr="001A1F99" w:rsidRDefault="001A1F99" w:rsidP="00BE1525">
            <w:pPr>
              <w:ind w:left="510" w:right="-850"/>
              <w:rPr>
                <w:b/>
                <w:bCs/>
              </w:rPr>
            </w:pPr>
            <w:r w:rsidRPr="001A1F99">
              <w:rPr>
                <w:b/>
                <w:bCs/>
              </w:rPr>
              <w:t xml:space="preserve">4.1 Environmental Management System </w:t>
            </w:r>
          </w:p>
          <w:p w14:paraId="627D34A7" w14:textId="40E7E4E9" w:rsidR="001A1F99" w:rsidRPr="001A1F99" w:rsidRDefault="001A1F99" w:rsidP="00BE1525">
            <w:pPr>
              <w:ind w:left="510" w:right="-850"/>
            </w:pPr>
            <w:r w:rsidRPr="001A1F99">
              <w:t>Review environmental activities and practices at the site</w:t>
            </w:r>
          </w:p>
          <w:p w14:paraId="7D002AE5" w14:textId="77777777" w:rsidR="0025132D" w:rsidRPr="00202BBF" w:rsidRDefault="0025132D" w:rsidP="0025132D">
            <w:pPr>
              <w:ind w:left="510" w:right="-850"/>
            </w:pPr>
            <w:r w:rsidRPr="00202BBF">
              <w:t>Establish a baseline assessment to identify possible savings and KPIs</w:t>
            </w:r>
          </w:p>
          <w:p w14:paraId="0A7A8C94" w14:textId="24C92441" w:rsidR="0025132D" w:rsidRDefault="0025132D" w:rsidP="0025132D">
            <w:pPr>
              <w:ind w:left="510" w:right="-850"/>
            </w:pPr>
            <w:r w:rsidRPr="006B1F00">
              <w:t>Identify resource, emissions and cost savings opportunities</w:t>
            </w:r>
            <w:r w:rsidR="007D5C05">
              <w:t xml:space="preserve"> </w:t>
            </w:r>
          </w:p>
          <w:p w14:paraId="7780AFC5" w14:textId="743CB871" w:rsidR="001A1F99" w:rsidRDefault="001A1F99" w:rsidP="00BE1525">
            <w:pPr>
              <w:ind w:left="510" w:right="-850"/>
            </w:pPr>
            <w:r w:rsidRPr="00EF7761">
              <w:t>Assist with preparation of a basic Environmental Management System (EMS) based on a ‘Plan, Do, Check, Act’ philosophy</w:t>
            </w:r>
          </w:p>
          <w:p w14:paraId="5999707F" w14:textId="7DE4430E" w:rsidR="00F65586" w:rsidRPr="00EF7761" w:rsidRDefault="00F65586" w:rsidP="00F65586">
            <w:pPr>
              <w:ind w:left="510" w:right="-850"/>
            </w:pPr>
            <w:r w:rsidRPr="001A1F99">
              <w:t>Assist with preparation of an Environmental Policy</w:t>
            </w:r>
          </w:p>
          <w:p w14:paraId="67E17440" w14:textId="6CEAADE7" w:rsidR="00961ED3" w:rsidRDefault="00DF3BF1" w:rsidP="00961ED3">
            <w:pPr>
              <w:ind w:left="510" w:right="-850"/>
            </w:pPr>
            <w:r>
              <w:t>Provide suggestions on the format and frequency of reports, including KPI check for performance evaluation</w:t>
            </w:r>
          </w:p>
          <w:p w14:paraId="6072DF9B" w14:textId="77777777" w:rsidR="00DF3BF1" w:rsidRDefault="00DF3BF1" w:rsidP="00DF3BF1">
            <w:pPr>
              <w:ind w:left="510" w:right="-850"/>
            </w:pPr>
            <w:r>
              <w:t>Provide training and guidance on the implementation of software tools to measure, manage and report</w:t>
            </w:r>
            <w:r>
              <w:tab/>
            </w:r>
          </w:p>
          <w:p w14:paraId="08A5CE47" w14:textId="12AB3E66" w:rsidR="00FF292E" w:rsidRPr="001A1F99" w:rsidRDefault="00FF292E" w:rsidP="00BE1525">
            <w:pPr>
              <w:ind w:left="510" w:right="-850"/>
            </w:pPr>
            <w:r w:rsidRPr="00FF292E">
              <w:t>Provide advice on risks (financial, reputational, regulatory or physical) and how to mitigate them</w:t>
            </w:r>
          </w:p>
          <w:p w14:paraId="49A829D6" w14:textId="19255D2F" w:rsidR="00496865" w:rsidRPr="003F39AB" w:rsidRDefault="00496865" w:rsidP="004C750C">
            <w:pPr>
              <w:ind w:left="510" w:right="-850"/>
            </w:pPr>
            <w:r>
              <w:t>Adv</w:t>
            </w:r>
            <w:r w:rsidR="004D62FE">
              <w:t xml:space="preserve">ise </w:t>
            </w:r>
            <w:r>
              <w:t xml:space="preserve">on other </w:t>
            </w:r>
            <w:r w:rsidR="00FA7613">
              <w:t xml:space="preserve">tools </w:t>
            </w:r>
            <w:r>
              <w:t>and financial supports, e.g. SEAI supports &amp; Energy Efficiency Obligation Scheme (EEOS)</w:t>
            </w:r>
          </w:p>
        </w:tc>
      </w:tr>
      <w:tr w:rsidR="00727BC9" w14:paraId="6BE22684" w14:textId="77777777" w:rsidTr="7DEB5AAD">
        <w:tc>
          <w:tcPr>
            <w:tcW w:w="14879" w:type="dxa"/>
          </w:tcPr>
          <w:p w14:paraId="155BFDCC" w14:textId="5C6456C1" w:rsidR="00727BC9" w:rsidRDefault="00727BC9" w:rsidP="00727BC9">
            <w:pPr>
              <w:ind w:left="510" w:right="-850"/>
              <w:rPr>
                <w:b/>
                <w:bCs/>
              </w:rPr>
            </w:pPr>
            <w:r w:rsidRPr="00D97217">
              <w:rPr>
                <w:b/>
                <w:bCs/>
              </w:rPr>
              <w:t xml:space="preserve">4.2 </w:t>
            </w:r>
            <w:r w:rsidR="00390441">
              <w:rPr>
                <w:b/>
                <w:bCs/>
              </w:rPr>
              <w:t>Energy</w:t>
            </w:r>
            <w:r w:rsidR="00D70051">
              <w:rPr>
                <w:b/>
                <w:bCs/>
              </w:rPr>
              <w:t xml:space="preserve"> Management System</w:t>
            </w:r>
          </w:p>
          <w:p w14:paraId="573BCC40" w14:textId="77777777" w:rsidR="00727BC9" w:rsidRPr="00D97217" w:rsidRDefault="00727BC9" w:rsidP="00727BC9">
            <w:pPr>
              <w:ind w:left="510" w:right="-850"/>
            </w:pPr>
            <w:r w:rsidRPr="00D97217">
              <w:t>Review energy activities and practices at the site, identify energy sources and significant energy users</w:t>
            </w:r>
          </w:p>
          <w:p w14:paraId="2C179B2D" w14:textId="77777777" w:rsidR="00727BC9" w:rsidRPr="00D97217" w:rsidRDefault="00727BC9" w:rsidP="00727BC9">
            <w:pPr>
              <w:ind w:left="510" w:right="-850"/>
            </w:pPr>
            <w:r w:rsidRPr="00D97217">
              <w:t xml:space="preserve">Establish a baseline assessment to establish Energy Performance Indicators (EnPIs)  </w:t>
            </w:r>
          </w:p>
          <w:p w14:paraId="746A5866" w14:textId="77777777" w:rsidR="00DB5C00" w:rsidRDefault="00727BC9" w:rsidP="00727BC9">
            <w:pPr>
              <w:ind w:left="510" w:right="-850"/>
            </w:pPr>
            <w:r>
              <w:t>Identify energy, emissions and cost savings opportunities</w:t>
            </w:r>
          </w:p>
          <w:p w14:paraId="20A8E4B7" w14:textId="4B2F7AE4" w:rsidR="00727BC9" w:rsidRPr="00D97217" w:rsidRDefault="00DB5C00" w:rsidP="00727BC9">
            <w:pPr>
              <w:ind w:left="510" w:right="-850"/>
            </w:pPr>
            <w:r w:rsidRPr="00DB5C00">
              <w:t>Consider renewable energy generation potential and recommend appropriate system(s)</w:t>
            </w:r>
          </w:p>
          <w:p w14:paraId="4DD0E8D9" w14:textId="77777777" w:rsidR="00727BC9" w:rsidRPr="00D97217" w:rsidRDefault="00727BC9" w:rsidP="00727BC9">
            <w:pPr>
              <w:ind w:left="510" w:right="-850"/>
            </w:pPr>
            <w:r>
              <w:t>Provide suggestions on the format and frequency of Energy Reports, including EnPI check for performance evaluation</w:t>
            </w:r>
          </w:p>
          <w:p w14:paraId="628199B5" w14:textId="77777777" w:rsidR="00727BC9" w:rsidRDefault="00727BC9" w:rsidP="00727BC9">
            <w:pPr>
              <w:tabs>
                <w:tab w:val="left" w:pos="13470"/>
              </w:tabs>
              <w:ind w:left="510" w:right="-850"/>
            </w:pPr>
            <w:r w:rsidRPr="04F3EDC8">
              <w:rPr>
                <w:rFonts w:ascii="Calibri" w:eastAsia="Calibri" w:hAnsi="Calibri" w:cs="Calibri"/>
                <w:color w:val="201F1E"/>
              </w:rPr>
              <w:lastRenderedPageBreak/>
              <w:t>Provide training and guidance on the implementation of software tools to measure, manage and report</w:t>
            </w:r>
            <w:r>
              <w:rPr>
                <w:rFonts w:ascii="Calibri" w:eastAsia="Calibri" w:hAnsi="Calibri" w:cs="Calibri"/>
                <w:color w:val="201F1E"/>
              </w:rPr>
              <w:tab/>
            </w:r>
          </w:p>
          <w:p w14:paraId="166BD6D7" w14:textId="77777777" w:rsidR="00727BC9" w:rsidRPr="00D97217" w:rsidRDefault="00727BC9" w:rsidP="00727BC9">
            <w:pPr>
              <w:ind w:left="510" w:right="-850"/>
            </w:pPr>
            <w:r w:rsidRPr="00D97217">
              <w:t xml:space="preserve">Assist with preparation of an Energy Policy </w:t>
            </w:r>
            <w:r>
              <w:t xml:space="preserve">and </w:t>
            </w:r>
            <w:r w:rsidRPr="00D97217">
              <w:t>Management System based on a ‘Plan, Do, Check, Act’ philosophy</w:t>
            </w:r>
          </w:p>
          <w:p w14:paraId="53DD4D0F" w14:textId="421DA9E2" w:rsidR="00727BC9" w:rsidRPr="001A1F99" w:rsidRDefault="00727BC9" w:rsidP="00727BC9">
            <w:pPr>
              <w:ind w:left="510" w:right="-850"/>
              <w:rPr>
                <w:b/>
                <w:bCs/>
              </w:rPr>
            </w:pPr>
            <w:r w:rsidRPr="00D97217">
              <w:t>Advise on other technical and financial supports, e.g. SEAI supports &amp; Energy Efficiency Obligation Scheme (EEOS)</w:t>
            </w:r>
          </w:p>
        </w:tc>
      </w:tr>
      <w:tr w:rsidR="00A2660D" w14:paraId="54EE04F6" w14:textId="77777777" w:rsidTr="7DEB5AAD">
        <w:tc>
          <w:tcPr>
            <w:tcW w:w="14879" w:type="dxa"/>
          </w:tcPr>
          <w:p w14:paraId="3F65C8AA" w14:textId="22157FB2" w:rsidR="00A2660D" w:rsidRPr="00A2660D" w:rsidRDefault="00A2660D" w:rsidP="00A2660D">
            <w:pPr>
              <w:ind w:left="510" w:right="-850"/>
              <w:rPr>
                <w:b/>
                <w:bCs/>
              </w:rPr>
            </w:pPr>
            <w:r w:rsidRPr="00D97217">
              <w:rPr>
                <w:b/>
                <w:bCs/>
              </w:rPr>
              <w:lastRenderedPageBreak/>
              <w:t>4.</w:t>
            </w:r>
            <w:r w:rsidR="00DE78C9">
              <w:rPr>
                <w:b/>
                <w:bCs/>
              </w:rPr>
              <w:t>3</w:t>
            </w:r>
            <w:r w:rsidRPr="00D97217">
              <w:rPr>
                <w:b/>
                <w:bCs/>
              </w:rPr>
              <w:t xml:space="preserve"> </w:t>
            </w:r>
            <w:r>
              <w:rPr>
                <w:b/>
                <w:bCs/>
              </w:rPr>
              <w:t>Carbon</w:t>
            </w:r>
            <w:r>
              <w:rPr>
                <w:b/>
                <w:bCs/>
              </w:rPr>
              <w:t xml:space="preserve"> </w:t>
            </w:r>
            <w:r w:rsidR="00797BD3">
              <w:rPr>
                <w:b/>
                <w:bCs/>
              </w:rPr>
              <w:t>Footprinting (Organisation/Product)</w:t>
            </w:r>
          </w:p>
          <w:p w14:paraId="3F50375C" w14:textId="231A25A3" w:rsidR="00A2660D" w:rsidRDefault="00A2660D" w:rsidP="00AC089F">
            <w:pPr>
              <w:ind w:left="510" w:right="-850"/>
            </w:pPr>
            <w:r>
              <w:t>Quantify the Organisation’s</w:t>
            </w:r>
            <w:r w:rsidR="00797BD3">
              <w:t>/Product(s)</w:t>
            </w:r>
            <w:r>
              <w:t xml:space="preserve"> carbon footprint</w:t>
            </w:r>
            <w:r w:rsidR="008C3488">
              <w:t xml:space="preserve">; </w:t>
            </w:r>
            <w:r>
              <w:t>Scope 1</w:t>
            </w:r>
            <w:r w:rsidR="008316F4">
              <w:t xml:space="preserve">, </w:t>
            </w:r>
            <w:r>
              <w:t xml:space="preserve">2 and 3 </w:t>
            </w:r>
            <w:r w:rsidR="00A5053C">
              <w:t>(</w:t>
            </w:r>
            <w:r w:rsidR="00915A92">
              <w:t>if</w:t>
            </w:r>
            <w:r w:rsidR="00396D0A">
              <w:t xml:space="preserve"> </w:t>
            </w:r>
            <w:r>
              <w:t>data available</w:t>
            </w:r>
            <w:r w:rsidR="00A5053C">
              <w:t>)</w:t>
            </w:r>
            <w:r w:rsidR="005D3866">
              <w:t xml:space="preserve"> </w:t>
            </w:r>
            <w:r w:rsidRPr="00F52370">
              <w:t>based on GHG Protocol</w:t>
            </w:r>
            <w:r w:rsidR="00A5053C">
              <w:t>/</w:t>
            </w:r>
            <w:r w:rsidRPr="00F52370">
              <w:t>ISO 14064</w:t>
            </w:r>
            <w:r w:rsidR="00D21375">
              <w:t>-</w:t>
            </w:r>
            <w:r w:rsidR="00860BA2">
              <w:t>1/</w:t>
            </w:r>
            <w:r w:rsidR="00CA7A14">
              <w:t>ISO 14067</w:t>
            </w:r>
            <w:r w:rsidR="00CA7A14">
              <w:t xml:space="preserve"> or similar</w:t>
            </w:r>
          </w:p>
          <w:p w14:paraId="7677CE76" w14:textId="55D2523A" w:rsidR="007B435C" w:rsidRDefault="005D3866" w:rsidP="00336AE6">
            <w:pPr>
              <w:ind w:left="510" w:right="-850"/>
            </w:pPr>
            <w:r>
              <w:t>P</w:t>
            </w:r>
            <w:r w:rsidRPr="005D3866">
              <w:t>rovide</w:t>
            </w:r>
            <w:r w:rsidR="005265E6">
              <w:t>/curate</w:t>
            </w:r>
            <w:r w:rsidR="004D7201">
              <w:t xml:space="preserve"> a spreadsheet</w:t>
            </w:r>
            <w:r w:rsidR="00AC089F">
              <w:t>-</w:t>
            </w:r>
            <w:r w:rsidR="004D7201">
              <w:t>based data collection model to</w:t>
            </w:r>
            <w:r w:rsidRPr="005D3866">
              <w:t xml:space="preserve"> enable the company </w:t>
            </w:r>
            <w:r w:rsidR="004D7201">
              <w:t xml:space="preserve">project team </w:t>
            </w:r>
            <w:r w:rsidRPr="005D3866">
              <w:t>to quantify</w:t>
            </w:r>
            <w:r w:rsidR="00A0744E">
              <w:t xml:space="preserve"> the Organisations/Product</w:t>
            </w:r>
            <w:r w:rsidR="007B435C">
              <w:t>s</w:t>
            </w:r>
          </w:p>
          <w:p w14:paraId="2EC139D6" w14:textId="6D386D17" w:rsidR="005D3866" w:rsidRPr="00D97217" w:rsidRDefault="005D3866" w:rsidP="00336AE6">
            <w:pPr>
              <w:ind w:left="510" w:right="-850"/>
            </w:pPr>
            <w:r w:rsidRPr="005D3866">
              <w:t>carbon footprint</w:t>
            </w:r>
            <w:r w:rsidR="00F53D2E">
              <w:t xml:space="preserve"> going forward</w:t>
            </w:r>
          </w:p>
          <w:p w14:paraId="3C4F9AAF" w14:textId="09EBC9BE" w:rsidR="00A2660D" w:rsidRPr="00746AF1" w:rsidRDefault="00A2660D" w:rsidP="008C3488">
            <w:pPr>
              <w:tabs>
                <w:tab w:val="left" w:pos="13470"/>
              </w:tabs>
              <w:ind w:left="510" w:right="-850"/>
            </w:pPr>
            <w:r w:rsidRPr="04F3EDC8">
              <w:rPr>
                <w:rFonts w:ascii="Calibri" w:eastAsia="Calibri" w:hAnsi="Calibri" w:cs="Calibri"/>
                <w:color w:val="201F1E"/>
              </w:rPr>
              <w:t>Provide training and guidance on the implementation of software tools to measure, manage and report</w:t>
            </w:r>
            <w:r>
              <w:rPr>
                <w:rFonts w:ascii="Calibri" w:eastAsia="Calibri" w:hAnsi="Calibri" w:cs="Calibri"/>
                <w:color w:val="201F1E"/>
              </w:rPr>
              <w:tab/>
            </w:r>
          </w:p>
        </w:tc>
      </w:tr>
      <w:tr w:rsidR="00DC1169" w14:paraId="26551959" w14:textId="77777777" w:rsidTr="7DEB5AAD">
        <w:tc>
          <w:tcPr>
            <w:tcW w:w="14879" w:type="dxa"/>
          </w:tcPr>
          <w:p w14:paraId="770AE3BD" w14:textId="3318AFB1" w:rsidR="00DC1169" w:rsidRPr="00376C24" w:rsidRDefault="00DC1169" w:rsidP="00DC1169">
            <w:pPr>
              <w:ind w:left="510" w:right="-850"/>
              <w:rPr>
                <w:b/>
                <w:bCs/>
              </w:rPr>
            </w:pPr>
            <w:r w:rsidRPr="00376C24">
              <w:rPr>
                <w:b/>
                <w:bCs/>
              </w:rPr>
              <w:t>4</w:t>
            </w:r>
            <w:r w:rsidR="00376C24">
              <w:rPr>
                <w:b/>
                <w:bCs/>
              </w:rPr>
              <w:t>.</w:t>
            </w:r>
            <w:r w:rsidR="00DE78C9">
              <w:rPr>
                <w:b/>
                <w:bCs/>
              </w:rPr>
              <w:t>4</w:t>
            </w:r>
            <w:r w:rsidRPr="00376C24">
              <w:rPr>
                <w:b/>
                <w:bCs/>
              </w:rPr>
              <w:t xml:space="preserve"> Develop a Carbon Reduction Roadmap</w:t>
            </w:r>
          </w:p>
          <w:p w14:paraId="28FC90E5" w14:textId="585B53BD" w:rsidR="00B87D72" w:rsidRDefault="00B87D72" w:rsidP="00B87D72">
            <w:pPr>
              <w:ind w:left="510" w:right="-850"/>
            </w:pPr>
            <w:r>
              <w:t xml:space="preserve">Develop a consolidated opportunity lists for energy including ranking based on </w:t>
            </w:r>
            <w:r w:rsidR="005B1B07">
              <w:t>Emissions</w:t>
            </w:r>
            <w:r>
              <w:t xml:space="preserve">, Energy Efficiency, and payback. </w:t>
            </w:r>
          </w:p>
          <w:p w14:paraId="7C4F6154" w14:textId="423E5A7A" w:rsidR="00B87D72" w:rsidRDefault="00B87D72" w:rsidP="00B87D72">
            <w:pPr>
              <w:ind w:left="510" w:right="-850"/>
            </w:pPr>
            <w:r>
              <w:t>Quantify the Organisation’s Operational carbon footprint on existing energy data based on GHG Protocol, ISO 14064-1</w:t>
            </w:r>
            <w:r w:rsidR="0090385A">
              <w:t xml:space="preserve">, </w:t>
            </w:r>
            <w:r>
              <w:t>or similar (Scope 1 &amp; 2)</w:t>
            </w:r>
          </w:p>
          <w:p w14:paraId="454AADB0" w14:textId="77839DDC" w:rsidR="00527BC9" w:rsidRDefault="00527BC9" w:rsidP="00B87D72">
            <w:pPr>
              <w:ind w:left="510" w:right="-850"/>
            </w:pPr>
            <w:r w:rsidRPr="00527BC9">
              <w:t>Provide/curate a spreadsheet-based data collection model to enable the company project team to continue to quantify carbon footprint going forward</w:t>
            </w:r>
          </w:p>
          <w:p w14:paraId="0C55BFF1" w14:textId="415E1CA6" w:rsidR="00B87D72" w:rsidRDefault="00B87D72" w:rsidP="00B87D72">
            <w:pPr>
              <w:ind w:left="510" w:right="-850"/>
            </w:pPr>
            <w:r>
              <w:t>Project out carbon emissions in a do</w:t>
            </w:r>
            <w:r w:rsidR="00F303AB">
              <w:t>-</w:t>
            </w:r>
            <w:r>
              <w:t>nothing scenario to 2030 using the client companies targets &amp; projections</w:t>
            </w:r>
          </w:p>
          <w:p w14:paraId="50B12DBB" w14:textId="74BD1E5B" w:rsidR="00B87D72" w:rsidRDefault="00B87D72" w:rsidP="00B87D72">
            <w:pPr>
              <w:ind w:left="510" w:right="-850"/>
            </w:pPr>
            <w:r>
              <w:t xml:space="preserve">Generate </w:t>
            </w:r>
            <w:r w:rsidR="00F303AB">
              <w:t>carbon</w:t>
            </w:r>
            <w:r w:rsidR="00376C24">
              <w:t xml:space="preserve"> reduction</w:t>
            </w:r>
            <w:r>
              <w:t xml:space="preserve"> road maps identifying the carbon reductions from the implementation of the projects on the consolidated opportunity lists</w:t>
            </w:r>
          </w:p>
          <w:p w14:paraId="38344D14" w14:textId="77777777" w:rsidR="00B87D72" w:rsidRDefault="00B87D72" w:rsidP="00B87D72">
            <w:pPr>
              <w:ind w:left="510" w:right="-850"/>
            </w:pPr>
            <w:r>
              <w:t>Investigate all potentially feasible technologies</w:t>
            </w:r>
          </w:p>
          <w:p w14:paraId="497DD28E" w14:textId="77777777" w:rsidR="00B87D72" w:rsidRDefault="00B87D72" w:rsidP="00B87D72">
            <w:pPr>
              <w:ind w:left="510" w:right="-850"/>
            </w:pPr>
            <w:r>
              <w:t xml:space="preserve">Provide guidance on the economic case for any potential investments </w:t>
            </w:r>
          </w:p>
          <w:p w14:paraId="3E9CF44E" w14:textId="36221D8A" w:rsidR="00DC1169" w:rsidRPr="00526959" w:rsidRDefault="00B87D72" w:rsidP="00526959">
            <w:pPr>
              <w:ind w:left="510" w:right="-850"/>
            </w:pPr>
            <w:r>
              <w:t>Advise on other technical and financial supports, e.g. SEAI supports &amp; Energy Efficiency Obligation Scheme (EEOS)</w:t>
            </w:r>
          </w:p>
        </w:tc>
      </w:tr>
      <w:tr w:rsidR="001A1F99" w14:paraId="2046ACFC" w14:textId="77777777" w:rsidTr="7DEB5AAD">
        <w:tc>
          <w:tcPr>
            <w:tcW w:w="14879" w:type="dxa"/>
          </w:tcPr>
          <w:p w14:paraId="55C28E6C" w14:textId="36E73843" w:rsidR="003A3721" w:rsidRPr="003A3721" w:rsidRDefault="003A3721" w:rsidP="00BE1525">
            <w:pPr>
              <w:ind w:left="510" w:right="-850"/>
              <w:rPr>
                <w:b/>
                <w:bCs/>
              </w:rPr>
            </w:pPr>
            <w:r w:rsidRPr="003A3721">
              <w:rPr>
                <w:b/>
                <w:bCs/>
              </w:rPr>
              <w:t>4.</w:t>
            </w:r>
            <w:r w:rsidR="00DE78C9">
              <w:rPr>
                <w:b/>
                <w:bCs/>
              </w:rPr>
              <w:t>5</w:t>
            </w:r>
            <w:r>
              <w:rPr>
                <w:b/>
                <w:bCs/>
              </w:rPr>
              <w:t xml:space="preserve"> </w:t>
            </w:r>
            <w:r w:rsidRPr="003A3721">
              <w:rPr>
                <w:b/>
                <w:bCs/>
              </w:rPr>
              <w:t>Water Stewardship</w:t>
            </w:r>
          </w:p>
          <w:p w14:paraId="23DEB7CD" w14:textId="58C8CD4B" w:rsidR="003A3721" w:rsidRPr="003A3721" w:rsidRDefault="003A3721" w:rsidP="00BE1525">
            <w:pPr>
              <w:ind w:left="510" w:right="-850"/>
            </w:pPr>
            <w:r w:rsidRPr="003A3721">
              <w:t>Review water stewardship activities and practices at the site</w:t>
            </w:r>
          </w:p>
          <w:p w14:paraId="323E02E6" w14:textId="6E114F9A" w:rsidR="003A3721" w:rsidRPr="003A3721" w:rsidRDefault="003A3721" w:rsidP="00BE1525">
            <w:pPr>
              <w:ind w:left="510" w:right="-850"/>
            </w:pPr>
            <w:r w:rsidRPr="003A3721">
              <w:t>Provide advice on water risks (financial, reputational, regulatory or physical) and how to mitigate them</w:t>
            </w:r>
          </w:p>
          <w:p w14:paraId="1001F9B7" w14:textId="73C28923" w:rsidR="003A3721" w:rsidRPr="003A3721" w:rsidRDefault="003A3721" w:rsidP="00BE1525">
            <w:pPr>
              <w:ind w:left="510" w:right="-850"/>
            </w:pPr>
            <w:r w:rsidRPr="003A3721">
              <w:t xml:space="preserve">Assist with preparation of a Water Stewardship Map, Targets and Action Plan </w:t>
            </w:r>
          </w:p>
          <w:p w14:paraId="36D591E3" w14:textId="5C4C69B4" w:rsidR="003A3721" w:rsidRPr="003A3721" w:rsidRDefault="003A3721" w:rsidP="00BE1525">
            <w:pPr>
              <w:ind w:left="510" w:right="-850"/>
            </w:pPr>
            <w:r>
              <w:t>Establish a baseline assessment to identify possible savings and KPIs</w:t>
            </w:r>
          </w:p>
          <w:p w14:paraId="445C5267" w14:textId="55A092AF" w:rsidR="2A8C1F84" w:rsidRDefault="2A8C1F84" w:rsidP="04F3EDC8">
            <w:pPr>
              <w:ind w:left="510" w:right="-850"/>
            </w:pPr>
            <w:r w:rsidRPr="04F3EDC8">
              <w:rPr>
                <w:rFonts w:ascii="Calibri" w:eastAsia="Calibri" w:hAnsi="Calibri" w:cs="Calibri"/>
                <w:color w:val="201F1E"/>
              </w:rPr>
              <w:t>Provide training and guidance on the implementation of software tools to measure, manage and report</w:t>
            </w:r>
          </w:p>
          <w:p w14:paraId="31D5B93D" w14:textId="77777777" w:rsidR="00EB0CD2" w:rsidRDefault="003A3721" w:rsidP="009C64F0">
            <w:pPr>
              <w:ind w:left="510" w:right="-850"/>
            </w:pPr>
            <w:r w:rsidRPr="003A3721">
              <w:t>Provide introductory training for relevant staff</w:t>
            </w:r>
            <w:r w:rsidR="009C64F0">
              <w:t xml:space="preserve"> </w:t>
            </w:r>
          </w:p>
          <w:p w14:paraId="41D8411C" w14:textId="35DE3D26" w:rsidR="003F39AB" w:rsidRPr="006373D3" w:rsidRDefault="00EB0CD2" w:rsidP="009C64F0">
            <w:pPr>
              <w:ind w:left="510" w:right="-850"/>
            </w:pPr>
            <w:r>
              <w:t>A</w:t>
            </w:r>
            <w:r w:rsidR="003A3721" w:rsidRPr="003A3721">
              <w:t>ssist with access to other tools and resources to maintain performance and to improve water stewardship</w:t>
            </w:r>
          </w:p>
        </w:tc>
      </w:tr>
      <w:tr w:rsidR="007707B9" w14:paraId="4E2DF2A5" w14:textId="77777777" w:rsidTr="7DEB5AAD">
        <w:tc>
          <w:tcPr>
            <w:tcW w:w="14879" w:type="dxa"/>
          </w:tcPr>
          <w:p w14:paraId="08647D2E" w14:textId="702DE1BC" w:rsidR="00D16609" w:rsidRDefault="007707B9" w:rsidP="007707B9">
            <w:pPr>
              <w:ind w:left="510" w:right="-850"/>
              <w:rPr>
                <w:b/>
                <w:bCs/>
              </w:rPr>
            </w:pPr>
            <w:r w:rsidRPr="007707B9">
              <w:rPr>
                <w:b/>
                <w:bCs/>
              </w:rPr>
              <w:t>4.</w:t>
            </w:r>
            <w:r w:rsidR="00DE78C9">
              <w:rPr>
                <w:b/>
                <w:bCs/>
              </w:rPr>
              <w:t>6</w:t>
            </w:r>
            <w:r w:rsidRPr="007707B9">
              <w:rPr>
                <w:b/>
                <w:bCs/>
              </w:rPr>
              <w:t xml:space="preserve"> </w:t>
            </w:r>
            <w:r w:rsidR="00296E38">
              <w:rPr>
                <w:b/>
                <w:bCs/>
              </w:rPr>
              <w:t>M</w:t>
            </w:r>
            <w:r w:rsidRPr="007707B9">
              <w:rPr>
                <w:b/>
                <w:bCs/>
              </w:rPr>
              <w:t>etering</w:t>
            </w:r>
          </w:p>
          <w:p w14:paraId="67C2C7EC" w14:textId="01FFF44A" w:rsidR="007707B9" w:rsidRDefault="007707B9" w:rsidP="007707B9">
            <w:pPr>
              <w:ind w:left="510" w:right="-850"/>
            </w:pPr>
            <w:r w:rsidRPr="007707B9">
              <w:t xml:space="preserve">Identify Metering Opportunities (e.g. energy, </w:t>
            </w:r>
            <w:r w:rsidR="00D52227">
              <w:t xml:space="preserve">gas, diesel, oil, </w:t>
            </w:r>
            <w:r w:rsidRPr="007707B9">
              <w:t>water</w:t>
            </w:r>
            <w:r w:rsidR="00D52227">
              <w:t xml:space="preserve"> and steam</w:t>
            </w:r>
            <w:r w:rsidRPr="007707B9">
              <w:t>)</w:t>
            </w:r>
          </w:p>
          <w:p w14:paraId="6A5192C9" w14:textId="1792CCCB" w:rsidR="00530708" w:rsidRDefault="00530708" w:rsidP="007707B9">
            <w:pPr>
              <w:ind w:left="510" w:right="-850"/>
            </w:pPr>
            <w:r>
              <w:t>Assess site objectives</w:t>
            </w:r>
            <w:r w:rsidR="00991241">
              <w:t>, and purpose of meters</w:t>
            </w:r>
          </w:p>
          <w:p w14:paraId="6378DE40" w14:textId="104E870E" w:rsidR="007707B9" w:rsidRPr="007707B9" w:rsidRDefault="007707B9" w:rsidP="007707B9">
            <w:pPr>
              <w:ind w:left="510" w:right="-850"/>
            </w:pPr>
            <w:r w:rsidRPr="007707B9">
              <w:t xml:space="preserve">Prepare metering gap analysis </w:t>
            </w:r>
            <w:r w:rsidR="00477A56">
              <w:t>– which meters should be added &amp; why</w:t>
            </w:r>
          </w:p>
          <w:p w14:paraId="2EF331B1" w14:textId="146E4BCD" w:rsidR="007707B9" w:rsidRPr="007707B9" w:rsidRDefault="007707B9" w:rsidP="007707B9">
            <w:pPr>
              <w:ind w:left="510" w:right="-850"/>
            </w:pPr>
            <w:r w:rsidRPr="007707B9">
              <w:t xml:space="preserve">Develop metering </w:t>
            </w:r>
            <w:r w:rsidR="006C2145">
              <w:t>plan/</w:t>
            </w:r>
            <w:r w:rsidRPr="007707B9">
              <w:t xml:space="preserve">roadmap </w:t>
            </w:r>
          </w:p>
          <w:p w14:paraId="42C6111E" w14:textId="52EF3D33" w:rsidR="007707B9" w:rsidRPr="007707B9" w:rsidRDefault="007707B9" w:rsidP="007707B9">
            <w:pPr>
              <w:ind w:left="510" w:right="-850"/>
            </w:pPr>
            <w:r w:rsidRPr="007707B9">
              <w:t xml:space="preserve">Develop reporting dashboard </w:t>
            </w:r>
            <w:r w:rsidR="001B3214">
              <w:t>if applicable</w:t>
            </w:r>
          </w:p>
          <w:p w14:paraId="40E8B1B3" w14:textId="77777777" w:rsidR="007707B9" w:rsidRDefault="007707B9" w:rsidP="007707B9">
            <w:pPr>
              <w:ind w:left="510" w:right="-850"/>
            </w:pPr>
            <w:r w:rsidRPr="007707B9">
              <w:t>Training on data interpretation</w:t>
            </w:r>
          </w:p>
          <w:p w14:paraId="7E3C00D5" w14:textId="77777777" w:rsidR="00F904A8" w:rsidRDefault="009F1EE8" w:rsidP="007707B9">
            <w:pPr>
              <w:ind w:left="510" w:right="-850"/>
            </w:pPr>
            <w:r>
              <w:t xml:space="preserve">Metering </w:t>
            </w:r>
            <w:r w:rsidR="00F904A8" w:rsidRPr="00F904A8">
              <w:t>equipment</w:t>
            </w:r>
            <w:r w:rsidR="00140D63">
              <w:t xml:space="preserve"> </w:t>
            </w:r>
            <w:r>
              <w:t xml:space="preserve">may </w:t>
            </w:r>
            <w:r w:rsidR="00F904A8" w:rsidRPr="00F904A8">
              <w:t>be installed</w:t>
            </w:r>
            <w:r w:rsidR="006E72DF">
              <w:t xml:space="preserve"> on a temporary</w:t>
            </w:r>
            <w:r w:rsidR="008D345D">
              <w:t xml:space="preserve">/permanent </w:t>
            </w:r>
            <w:r w:rsidR="006E72DF">
              <w:t>basis</w:t>
            </w:r>
            <w:r w:rsidR="00F904A8" w:rsidRPr="00F904A8">
              <w:t xml:space="preserve"> as part of the project</w:t>
            </w:r>
            <w:r w:rsidR="00396C6D">
              <w:t xml:space="preserve"> </w:t>
            </w:r>
          </w:p>
          <w:p w14:paraId="62A0CEE4" w14:textId="300656C8" w:rsidR="00742448" w:rsidRPr="00F904A8" w:rsidRDefault="00742448" w:rsidP="007707B9">
            <w:pPr>
              <w:ind w:left="510" w:right="-850"/>
            </w:pPr>
          </w:p>
        </w:tc>
      </w:tr>
      <w:tr w:rsidR="007707B9" w14:paraId="7FF8BFA6" w14:textId="77777777" w:rsidTr="7DEB5AAD">
        <w:tc>
          <w:tcPr>
            <w:tcW w:w="14879" w:type="dxa"/>
          </w:tcPr>
          <w:p w14:paraId="7B2B7EC5" w14:textId="6497E9A9" w:rsidR="007707B9" w:rsidRPr="007707B9" w:rsidRDefault="007707B9" w:rsidP="007707B9">
            <w:pPr>
              <w:ind w:left="510" w:right="-850"/>
              <w:rPr>
                <w:b/>
                <w:bCs/>
              </w:rPr>
            </w:pPr>
            <w:r w:rsidRPr="007707B9">
              <w:rPr>
                <w:b/>
                <w:bCs/>
              </w:rPr>
              <w:lastRenderedPageBreak/>
              <w:t>4.</w:t>
            </w:r>
            <w:r w:rsidR="00DE78C9">
              <w:rPr>
                <w:b/>
                <w:bCs/>
              </w:rPr>
              <w:t>7</w:t>
            </w:r>
            <w:r w:rsidRPr="007707B9">
              <w:rPr>
                <w:b/>
                <w:bCs/>
              </w:rPr>
              <w:t xml:space="preserve"> Corporate Sustainable Strategy </w:t>
            </w:r>
          </w:p>
          <w:p w14:paraId="4EAB3597" w14:textId="77777777" w:rsidR="007707B9" w:rsidRPr="007707B9" w:rsidRDefault="007707B9" w:rsidP="007707B9">
            <w:pPr>
              <w:ind w:left="510" w:right="-850"/>
            </w:pPr>
            <w:r w:rsidRPr="007707B9">
              <w:t>Provide training/advice to develop a corporate sustainability / decarbonisation strategy</w:t>
            </w:r>
          </w:p>
          <w:p w14:paraId="1933BC99" w14:textId="77777777" w:rsidR="007707B9" w:rsidRPr="007707B9" w:rsidRDefault="007707B9" w:rsidP="007707B9">
            <w:pPr>
              <w:ind w:left="510" w:right="-850"/>
            </w:pPr>
            <w:r w:rsidRPr="007707B9">
              <w:t>Advise on the development of corporate sustainability policies, objectives, and plans</w:t>
            </w:r>
          </w:p>
          <w:p w14:paraId="70D6EBC8" w14:textId="77777777" w:rsidR="007707B9" w:rsidRPr="007707B9" w:rsidRDefault="007707B9" w:rsidP="007707B9">
            <w:pPr>
              <w:ind w:left="510" w:right="-850"/>
            </w:pPr>
            <w:r w:rsidRPr="007707B9">
              <w:t>Guidance on setting appropriate sustainability performance measures, KPIs and targets</w:t>
            </w:r>
          </w:p>
          <w:p w14:paraId="00204C53" w14:textId="77777777" w:rsidR="007707B9" w:rsidRPr="007707B9" w:rsidRDefault="007707B9" w:rsidP="007707B9">
            <w:pPr>
              <w:ind w:left="510" w:right="-850"/>
            </w:pPr>
            <w:r w:rsidRPr="007707B9">
              <w:t>Provide training and guidance on the implementation of software tools to measure, manage and report</w:t>
            </w:r>
          </w:p>
          <w:p w14:paraId="721CB895" w14:textId="77777777" w:rsidR="007707B9" w:rsidRPr="007707B9" w:rsidRDefault="007707B9" w:rsidP="007707B9">
            <w:pPr>
              <w:ind w:left="510" w:right="-850"/>
            </w:pPr>
            <w:r w:rsidRPr="007707B9">
              <w:t>Guidance on the development of stakeholder engagement and materiality programmes to assess key sustainability priorities</w:t>
            </w:r>
          </w:p>
          <w:p w14:paraId="4D1D815E" w14:textId="3DD35BF2" w:rsidR="00696140" w:rsidRPr="00696140" w:rsidRDefault="007707B9" w:rsidP="00376C24">
            <w:pPr>
              <w:ind w:left="510" w:right="-850"/>
            </w:pPr>
            <w:r w:rsidRPr="007707B9">
              <w:t>Guidance with aligning to global &amp; national sustainability frameworks, pledges, and disclosure systems e.g. UN SDGs, Science Based Targets Initiative, TCFD, SME Climate Action Hub, PAS 2060, B Corps, CDP, GRI, Origin Green.</w:t>
            </w:r>
          </w:p>
        </w:tc>
      </w:tr>
      <w:tr w:rsidR="00C0475A" w14:paraId="62147CA8" w14:textId="77777777" w:rsidTr="7DEB5AAD">
        <w:tc>
          <w:tcPr>
            <w:tcW w:w="14879" w:type="dxa"/>
          </w:tcPr>
          <w:p w14:paraId="0789CD57" w14:textId="1F0395E8" w:rsidR="00C0475A" w:rsidRPr="003A3721" w:rsidRDefault="00C0475A" w:rsidP="00AC53B5">
            <w:pPr>
              <w:ind w:left="567"/>
              <w:rPr>
                <w:b/>
                <w:bCs/>
              </w:rPr>
            </w:pPr>
            <w:r w:rsidRPr="003A3721">
              <w:rPr>
                <w:b/>
                <w:bCs/>
              </w:rPr>
              <w:t>4.</w:t>
            </w:r>
            <w:r w:rsidR="00DE78C9">
              <w:rPr>
                <w:b/>
                <w:bCs/>
              </w:rPr>
              <w:t>8</w:t>
            </w:r>
            <w:r>
              <w:rPr>
                <w:b/>
                <w:bCs/>
              </w:rPr>
              <w:t xml:space="preserve"> </w:t>
            </w:r>
            <w:r w:rsidRPr="003A3721">
              <w:rPr>
                <w:b/>
                <w:bCs/>
              </w:rPr>
              <w:t>Climate Adaptation</w:t>
            </w:r>
          </w:p>
          <w:p w14:paraId="4C9724FF" w14:textId="77777777" w:rsidR="00C0475A" w:rsidRDefault="00C0475A" w:rsidP="00C0475A">
            <w:pPr>
              <w:ind w:left="504"/>
              <w:rPr>
                <w:rFonts w:eastAsiaTheme="minorEastAsia"/>
              </w:rPr>
            </w:pPr>
            <w:r w:rsidRPr="04F3EDC8">
              <w:rPr>
                <w:rFonts w:eastAsiaTheme="minorEastAsia"/>
              </w:rPr>
              <w:t>Provide training to develop skills on identifying and understanding climate risks and opportunities based on the Task Force on Climate Related Financial Disclosures (TCFD), ISO 14090 or similar</w:t>
            </w:r>
          </w:p>
          <w:p w14:paraId="7C339628" w14:textId="5D7332C9" w:rsidR="00C0475A" w:rsidRPr="007707B9" w:rsidRDefault="00C0475A" w:rsidP="00C0475A">
            <w:pPr>
              <w:ind w:left="510" w:right="-850"/>
              <w:rPr>
                <w:b/>
                <w:bCs/>
              </w:rPr>
            </w:pPr>
            <w:r w:rsidRPr="04F3EDC8">
              <w:rPr>
                <w:rFonts w:eastAsiaTheme="minorEastAsia"/>
                <w:color w:val="000000" w:themeColor="text1"/>
              </w:rPr>
              <w:t>Guidance on implementing the appropriate Governance structures, strategy, climate scenario planning and metrics &amp; targets</w:t>
            </w:r>
          </w:p>
        </w:tc>
      </w:tr>
      <w:tr w:rsidR="00C0475A" w14:paraId="54E7636F" w14:textId="77777777" w:rsidTr="7DEB5AAD">
        <w:tc>
          <w:tcPr>
            <w:tcW w:w="14879" w:type="dxa"/>
          </w:tcPr>
          <w:p w14:paraId="00B6C99E" w14:textId="33755E89" w:rsidR="00C0475A" w:rsidRDefault="00C0475A" w:rsidP="00C0475A">
            <w:pPr>
              <w:ind w:left="510"/>
              <w:rPr>
                <w:b/>
                <w:bCs/>
              </w:rPr>
            </w:pPr>
            <w:r w:rsidRPr="003A3721">
              <w:rPr>
                <w:b/>
                <w:bCs/>
              </w:rPr>
              <w:t>4.</w:t>
            </w:r>
            <w:r w:rsidR="00DE78C9">
              <w:rPr>
                <w:b/>
                <w:bCs/>
              </w:rPr>
              <w:t>9</w:t>
            </w:r>
            <w:r w:rsidRPr="003A3721">
              <w:rPr>
                <w:b/>
                <w:bCs/>
              </w:rPr>
              <w:t xml:space="preserve"> </w:t>
            </w:r>
            <w:r>
              <w:rPr>
                <w:b/>
                <w:bCs/>
              </w:rPr>
              <w:t xml:space="preserve">Product Environmental Footprinting and Organisation Environmental Footprinting </w:t>
            </w:r>
          </w:p>
          <w:p w14:paraId="69135FDD" w14:textId="73AAEC87" w:rsidR="00C0475A" w:rsidRDefault="00C0475A" w:rsidP="00C0475A">
            <w:pPr>
              <w:ind w:left="510"/>
            </w:pPr>
            <w:r>
              <w:t>Provide a Product Environmental Footprint for a company’s manufactured goods and/or an Organisation Environmental Footprint for a particular production site/organisation, to act as a benchmark for further improvements, and to report footprints to the market</w:t>
            </w:r>
          </w:p>
          <w:p w14:paraId="27518312" w14:textId="2A0F824C" w:rsidR="00C0475A" w:rsidRDefault="00C0475A" w:rsidP="00C0475A">
            <w:pPr>
              <w:ind w:left="510"/>
            </w:pPr>
            <w:r>
              <w:t>Provide training on use of an environmental footprinting tool based on the Life Cycle Methodology (LCA, relevant standards ISOs 14040, 14044, 14025, ISO 14067, PAS 2050). The tool will express the environmental footprints in CO2 as well as several other environmental indicators</w:t>
            </w:r>
          </w:p>
          <w:p w14:paraId="7D1DFE96" w14:textId="1193B8BD" w:rsidR="00C0475A" w:rsidRDefault="00C0475A" w:rsidP="00C0475A">
            <w:pPr>
              <w:ind w:left="510"/>
            </w:pPr>
            <w:r>
              <w:t>Assist the company in using the LCA tool to generate, interpret and use the footprint results to identify environmental hotspots and understand their own Scopes 1, 2 and 3 (direct and indirect) CO2 and other emissions; thus enabling the company to footprint their own products and organisation, and monitor and report the improvements in their environmental performance to the market</w:t>
            </w:r>
          </w:p>
          <w:p w14:paraId="526702E8" w14:textId="5BC25F81" w:rsidR="00C0475A" w:rsidRDefault="00C0475A" w:rsidP="00C0475A">
            <w:pPr>
              <w:ind w:left="510"/>
              <w:rPr>
                <w:b/>
                <w:bCs/>
              </w:rPr>
            </w:pPr>
            <w:r>
              <w:t>Assist the company with preparation of Environmental Product Declarations (relevant standard EN 15804), Ecolabels or similar environmental footprint declarations</w:t>
            </w:r>
          </w:p>
        </w:tc>
      </w:tr>
      <w:tr w:rsidR="00C0475A" w14:paraId="69E6C1B9" w14:textId="77777777" w:rsidTr="7DEB5AAD">
        <w:tc>
          <w:tcPr>
            <w:tcW w:w="14879" w:type="dxa"/>
          </w:tcPr>
          <w:p w14:paraId="59C76982" w14:textId="0021BA96" w:rsidR="00C0475A" w:rsidRPr="00AE690A" w:rsidRDefault="00C0475A" w:rsidP="00C0475A">
            <w:pPr>
              <w:ind w:left="567"/>
              <w:rPr>
                <w:b/>
                <w:bCs/>
                <w:highlight w:val="yellow"/>
              </w:rPr>
            </w:pPr>
            <w:r w:rsidRPr="04F3EDC8">
              <w:rPr>
                <w:b/>
                <w:bCs/>
              </w:rPr>
              <w:t>4.</w:t>
            </w:r>
            <w:r w:rsidR="00DE78C9">
              <w:rPr>
                <w:b/>
                <w:bCs/>
              </w:rPr>
              <w:t>10</w:t>
            </w:r>
            <w:r w:rsidRPr="04F3EDC8">
              <w:rPr>
                <w:b/>
                <w:bCs/>
              </w:rPr>
              <w:t xml:space="preserve"> Circular Economy thinking </w:t>
            </w:r>
          </w:p>
          <w:p w14:paraId="35BCE666" w14:textId="58466AA8" w:rsidR="00C0475A" w:rsidRDefault="00C0475A" w:rsidP="00C0475A">
            <w:pPr>
              <w:ind w:left="504"/>
              <w:rPr>
                <w:rFonts w:eastAsiaTheme="minorEastAsia"/>
                <w:color w:val="000000" w:themeColor="text1"/>
                <w:lang w:val="en-IE"/>
              </w:rPr>
            </w:pPr>
            <w:r w:rsidRPr="04F3EDC8">
              <w:rPr>
                <w:rFonts w:eastAsiaTheme="minorEastAsia"/>
                <w:color w:val="000000" w:themeColor="text1"/>
                <w:lang w:val="en-IE"/>
              </w:rPr>
              <w:t>Provide training to understand the circular economy principles, designing for a circular economy, the transition to circular business models and how to communicate the business value in a circular economy</w:t>
            </w:r>
          </w:p>
          <w:p w14:paraId="15BD05BF" w14:textId="3B03058F" w:rsidR="00986500" w:rsidRPr="00AE690A" w:rsidRDefault="00986500" w:rsidP="00C0475A">
            <w:pPr>
              <w:ind w:left="504"/>
              <w:rPr>
                <w:rFonts w:eastAsiaTheme="minorEastAsia"/>
                <w:color w:val="000000" w:themeColor="text1"/>
              </w:rPr>
            </w:pPr>
            <w:r>
              <w:rPr>
                <w:rFonts w:eastAsiaTheme="minorEastAsia"/>
                <w:color w:val="000000" w:themeColor="text1"/>
                <w:lang w:val="en-IE"/>
              </w:rPr>
              <w:t>Carry out a circular gap assessment</w:t>
            </w:r>
          </w:p>
          <w:p w14:paraId="2267F2DD" w14:textId="594C0782" w:rsidR="00C0475A" w:rsidRPr="00AE690A" w:rsidRDefault="00C0475A" w:rsidP="00C0475A">
            <w:pPr>
              <w:ind w:left="504"/>
              <w:rPr>
                <w:rFonts w:eastAsiaTheme="minorEastAsia"/>
                <w:color w:val="000000" w:themeColor="text1"/>
              </w:rPr>
            </w:pPr>
            <w:r w:rsidRPr="04F3EDC8">
              <w:rPr>
                <w:rFonts w:eastAsiaTheme="minorEastAsia"/>
                <w:color w:val="000000" w:themeColor="text1"/>
                <w:lang w:val="en-IE"/>
              </w:rPr>
              <w:t>Advise on key challenges and opportunities in transitioning to a more circular business model</w:t>
            </w:r>
          </w:p>
          <w:p w14:paraId="620AE395" w14:textId="6AB163F9" w:rsidR="00C0475A" w:rsidRPr="00AE690A" w:rsidRDefault="00C0475A" w:rsidP="00C0475A">
            <w:pPr>
              <w:ind w:left="504"/>
              <w:rPr>
                <w:rFonts w:eastAsiaTheme="minorEastAsia"/>
                <w:color w:val="000000" w:themeColor="text1"/>
              </w:rPr>
            </w:pPr>
            <w:r w:rsidRPr="04F3EDC8">
              <w:rPr>
                <w:rFonts w:eastAsiaTheme="minorEastAsia"/>
                <w:color w:val="000000" w:themeColor="text1"/>
                <w:lang w:val="en-IE"/>
              </w:rPr>
              <w:t>Provide training on understanding the systemic changed required in buyer and supplier relationships and contracts necessary to accelerate the circular economy transition</w:t>
            </w:r>
          </w:p>
          <w:p w14:paraId="3447A50C" w14:textId="15079D2D" w:rsidR="00C0475A" w:rsidRPr="00AE690A" w:rsidRDefault="00C0475A" w:rsidP="00C0475A">
            <w:pPr>
              <w:ind w:left="504"/>
              <w:rPr>
                <w:rFonts w:eastAsiaTheme="minorEastAsia"/>
                <w:color w:val="000000" w:themeColor="text1"/>
              </w:rPr>
            </w:pPr>
            <w:r w:rsidRPr="04F3EDC8">
              <w:rPr>
                <w:rFonts w:eastAsiaTheme="minorEastAsia"/>
                <w:color w:val="000000" w:themeColor="text1"/>
                <w:lang w:val="en-IE"/>
              </w:rPr>
              <w:t>Assist with developing a resource efficient innovation project for a more circular product, process or service</w:t>
            </w:r>
          </w:p>
          <w:p w14:paraId="0BFD0114" w14:textId="47C95AB2" w:rsidR="00C0475A" w:rsidRPr="00AE690A" w:rsidRDefault="00C0475A" w:rsidP="00C0475A">
            <w:pPr>
              <w:ind w:left="504"/>
              <w:rPr>
                <w:rFonts w:eastAsiaTheme="minorEastAsia"/>
                <w:color w:val="000000" w:themeColor="text1"/>
              </w:rPr>
            </w:pPr>
            <w:r w:rsidRPr="04F3EDC8">
              <w:rPr>
                <w:rFonts w:eastAsiaTheme="minorEastAsia"/>
                <w:color w:val="000000" w:themeColor="text1"/>
                <w:lang w:val="en-IE"/>
              </w:rPr>
              <w:t>Assist with the design of a new circular economy pilots or trials, including the facilitation of collaboration between suppliers and customers.</w:t>
            </w:r>
          </w:p>
          <w:p w14:paraId="431A7AD3" w14:textId="61EE99F6" w:rsidR="00DE78C9" w:rsidRPr="00754139" w:rsidRDefault="00C0475A" w:rsidP="00754139">
            <w:pPr>
              <w:ind w:left="504"/>
              <w:rPr>
                <w:rFonts w:eastAsiaTheme="minorEastAsia"/>
                <w:color w:val="000000" w:themeColor="text1"/>
                <w:lang w:val="en-IE"/>
              </w:rPr>
            </w:pPr>
            <w:r w:rsidRPr="04F3EDC8">
              <w:rPr>
                <w:rFonts w:eastAsiaTheme="minorEastAsia"/>
                <w:color w:val="000000" w:themeColor="text1"/>
                <w:lang w:val="en-IE"/>
              </w:rPr>
              <w:t>Assist with access to tools for measuring the impact of the Circular Economy; LCA and product carbon accounting</w:t>
            </w:r>
          </w:p>
        </w:tc>
      </w:tr>
      <w:tr w:rsidR="004D2091" w14:paraId="378D4EFA" w14:textId="77777777" w:rsidTr="7DEB5AAD">
        <w:tc>
          <w:tcPr>
            <w:tcW w:w="14879" w:type="dxa"/>
          </w:tcPr>
          <w:p w14:paraId="2AA98E87" w14:textId="7463768F" w:rsidR="004D2091" w:rsidRPr="003A3721" w:rsidRDefault="004D2091" w:rsidP="004D2091">
            <w:pPr>
              <w:ind w:left="504"/>
              <w:rPr>
                <w:b/>
                <w:bCs/>
              </w:rPr>
            </w:pPr>
            <w:r w:rsidRPr="04F3EDC8">
              <w:rPr>
                <w:b/>
                <w:bCs/>
              </w:rPr>
              <w:t>4.</w:t>
            </w:r>
            <w:r w:rsidR="00376C24">
              <w:rPr>
                <w:b/>
                <w:bCs/>
              </w:rPr>
              <w:t>1</w:t>
            </w:r>
            <w:r w:rsidR="00DE78C9">
              <w:rPr>
                <w:b/>
                <w:bCs/>
              </w:rPr>
              <w:t>1</w:t>
            </w:r>
            <w:r w:rsidRPr="04F3EDC8">
              <w:rPr>
                <w:b/>
                <w:bCs/>
              </w:rPr>
              <w:t xml:space="preserve"> Ecodesign</w:t>
            </w:r>
          </w:p>
          <w:p w14:paraId="77489BC8" w14:textId="45CDA137" w:rsidR="004D2091" w:rsidRPr="04F3EDC8" w:rsidRDefault="004D2091" w:rsidP="004D2091">
            <w:pPr>
              <w:ind w:left="567"/>
              <w:rPr>
                <w:b/>
                <w:bCs/>
              </w:rPr>
            </w:pPr>
            <w:r>
              <w:t>Provide training/advice in innovative design for sustainability e.g. designing a product from concept taking into account sustainability</w:t>
            </w:r>
          </w:p>
        </w:tc>
      </w:tr>
      <w:tr w:rsidR="004D2091" w14:paraId="035C2A9A" w14:textId="77777777" w:rsidTr="7DEB5AAD">
        <w:tc>
          <w:tcPr>
            <w:tcW w:w="14879" w:type="dxa"/>
          </w:tcPr>
          <w:p w14:paraId="75CE123B" w14:textId="6DDBFD60" w:rsidR="004D2091" w:rsidRPr="003A3721" w:rsidRDefault="004D2091" w:rsidP="004D2091">
            <w:pPr>
              <w:ind w:left="567"/>
              <w:rPr>
                <w:b/>
                <w:bCs/>
              </w:rPr>
            </w:pPr>
            <w:r w:rsidRPr="003A3721">
              <w:rPr>
                <w:b/>
                <w:bCs/>
              </w:rPr>
              <w:lastRenderedPageBreak/>
              <w:t>4.</w:t>
            </w:r>
            <w:r w:rsidR="00B45A62">
              <w:rPr>
                <w:b/>
                <w:bCs/>
              </w:rPr>
              <w:t>1</w:t>
            </w:r>
            <w:r w:rsidR="00DE78C9">
              <w:rPr>
                <w:b/>
                <w:bCs/>
              </w:rPr>
              <w:t>2</w:t>
            </w:r>
            <w:r>
              <w:rPr>
                <w:b/>
                <w:bCs/>
              </w:rPr>
              <w:t xml:space="preserve"> </w:t>
            </w:r>
            <w:r w:rsidRPr="003A3721">
              <w:rPr>
                <w:b/>
                <w:bCs/>
              </w:rPr>
              <w:t>Green Procurement/Tenders</w:t>
            </w:r>
          </w:p>
          <w:p w14:paraId="54A2C493" w14:textId="68DAF37A" w:rsidR="00376C24" w:rsidRPr="003A3721" w:rsidRDefault="004D2091" w:rsidP="00986500">
            <w:pPr>
              <w:ind w:left="504"/>
            </w:pPr>
            <w:r>
              <w:t>Provide training/advice in Green Procurement/tendering, integrating sustainability into the procurement/tendering process</w:t>
            </w:r>
          </w:p>
        </w:tc>
      </w:tr>
      <w:tr w:rsidR="004D2091" w14:paraId="44C73A2D" w14:textId="77777777" w:rsidTr="7DEB5AAD">
        <w:tc>
          <w:tcPr>
            <w:tcW w:w="14879" w:type="dxa"/>
          </w:tcPr>
          <w:p w14:paraId="229CC4E3" w14:textId="1E6E1CF0" w:rsidR="004D2091" w:rsidRPr="00933447" w:rsidRDefault="004D2091" w:rsidP="004D2091">
            <w:pPr>
              <w:ind w:left="567"/>
              <w:rPr>
                <w:b/>
                <w:bCs/>
              </w:rPr>
            </w:pPr>
            <w:r w:rsidRPr="04F3EDC8">
              <w:rPr>
                <w:b/>
                <w:bCs/>
              </w:rPr>
              <w:t>4.</w:t>
            </w:r>
            <w:r>
              <w:rPr>
                <w:b/>
                <w:bCs/>
              </w:rPr>
              <w:t>1</w:t>
            </w:r>
            <w:r w:rsidR="00DE78C9">
              <w:rPr>
                <w:b/>
                <w:bCs/>
              </w:rPr>
              <w:t>3</w:t>
            </w:r>
            <w:r w:rsidRPr="04F3EDC8">
              <w:rPr>
                <w:b/>
                <w:bCs/>
              </w:rPr>
              <w:t xml:space="preserve"> Sustainable Packaging</w:t>
            </w:r>
          </w:p>
          <w:p w14:paraId="7339EF16" w14:textId="408F07B4" w:rsidR="004D2091" w:rsidRPr="00933447" w:rsidRDefault="004D2091" w:rsidP="004D2091">
            <w:pPr>
              <w:ind w:left="504"/>
              <w:rPr>
                <w:rFonts w:eastAsiaTheme="minorEastAsia"/>
                <w:color w:val="000000" w:themeColor="text1"/>
              </w:rPr>
            </w:pPr>
            <w:r w:rsidRPr="04F3EDC8">
              <w:rPr>
                <w:rFonts w:eastAsiaTheme="minorEastAsia"/>
              </w:rPr>
              <w:t xml:space="preserve">Raise knowledge and understanding around Sustainable Packaging, including design processes, strategies, tools and opportunities </w:t>
            </w:r>
            <w:r w:rsidRPr="04F3EDC8">
              <w:rPr>
                <w:rFonts w:eastAsiaTheme="minorEastAsia"/>
                <w:color w:val="000000" w:themeColor="text1"/>
              </w:rPr>
              <w:t>for development of more sustainable and circular packaging solutions</w:t>
            </w:r>
          </w:p>
          <w:p w14:paraId="17EA3913" w14:textId="09C85148" w:rsidR="004D2091" w:rsidRPr="00317753" w:rsidRDefault="004D2091" w:rsidP="004D2091">
            <w:pPr>
              <w:ind w:left="504"/>
              <w:rPr>
                <w:rFonts w:eastAsiaTheme="minorEastAsia"/>
              </w:rPr>
            </w:pPr>
            <w:r w:rsidRPr="04F3EDC8">
              <w:rPr>
                <w:rFonts w:eastAsiaTheme="minorEastAsia"/>
              </w:rPr>
              <w:t xml:space="preserve">Enable companies to understand what adopting a Sustainable Packaging means for them and how to make Sustainable Packaging a reality in their company </w:t>
            </w:r>
          </w:p>
          <w:p w14:paraId="073363C4" w14:textId="07950DE4" w:rsidR="004D2091" w:rsidRPr="00317753" w:rsidRDefault="004D2091" w:rsidP="004D2091">
            <w:pPr>
              <w:ind w:left="504"/>
              <w:rPr>
                <w:rFonts w:eastAsiaTheme="minorEastAsia"/>
                <w:color w:val="000000" w:themeColor="text1"/>
              </w:rPr>
            </w:pPr>
            <w:r w:rsidRPr="7DEB5AAD">
              <w:rPr>
                <w:rFonts w:eastAsiaTheme="minorEastAsia"/>
                <w:color w:val="000000" w:themeColor="text1"/>
              </w:rPr>
              <w:t>Guidance on assessing and measuring sustainability in packaging in particular relating to end of life and recycling options</w:t>
            </w:r>
          </w:p>
          <w:p w14:paraId="584406D7" w14:textId="6D2FCF79" w:rsidR="008151C6" w:rsidRPr="00376C24" w:rsidRDefault="004D2091" w:rsidP="00376C24">
            <w:pPr>
              <w:ind w:left="504"/>
              <w:rPr>
                <w:rFonts w:ascii="Calibri" w:eastAsia="Calibri" w:hAnsi="Calibri" w:cs="Calibri"/>
                <w:color w:val="000000" w:themeColor="text1"/>
              </w:rPr>
            </w:pPr>
            <w:r w:rsidRPr="00CD0394">
              <w:rPr>
                <w:rFonts w:ascii="Calibri" w:eastAsia="Calibri" w:hAnsi="Calibri" w:cs="Calibri"/>
                <w:color w:val="000000" w:themeColor="text1"/>
              </w:rPr>
              <w:t>Assist with developing more sustainable innovative packaging</w:t>
            </w:r>
          </w:p>
        </w:tc>
      </w:tr>
      <w:tr w:rsidR="004D2091" w14:paraId="756B8FB1" w14:textId="77777777" w:rsidTr="7DEB5AAD">
        <w:tc>
          <w:tcPr>
            <w:tcW w:w="14879" w:type="dxa"/>
          </w:tcPr>
          <w:p w14:paraId="62980E08" w14:textId="4D20D087" w:rsidR="004D2091" w:rsidRPr="00C0475A" w:rsidRDefault="004D2091" w:rsidP="004D2091">
            <w:pPr>
              <w:ind w:left="567"/>
              <w:rPr>
                <w:b/>
                <w:bCs/>
              </w:rPr>
            </w:pPr>
            <w:r w:rsidRPr="00C0475A">
              <w:rPr>
                <w:b/>
                <w:bCs/>
              </w:rPr>
              <w:t>4.</w:t>
            </w:r>
            <w:r w:rsidR="00AC53B5">
              <w:rPr>
                <w:b/>
                <w:bCs/>
              </w:rPr>
              <w:t>1</w:t>
            </w:r>
            <w:r w:rsidR="00DE78C9">
              <w:rPr>
                <w:b/>
                <w:bCs/>
              </w:rPr>
              <w:t>4</w:t>
            </w:r>
            <w:r w:rsidRPr="00C0475A">
              <w:rPr>
                <w:b/>
                <w:bCs/>
              </w:rPr>
              <w:t xml:space="preserve"> Plastic Management</w:t>
            </w:r>
          </w:p>
          <w:p w14:paraId="7E5F41C3" w14:textId="77777777" w:rsidR="004D2091" w:rsidRPr="00C0475A" w:rsidRDefault="004D2091" w:rsidP="004D2091">
            <w:pPr>
              <w:ind w:left="567"/>
            </w:pPr>
            <w:r w:rsidRPr="00C0475A">
              <w:t>Review and document plastic used across each Department</w:t>
            </w:r>
          </w:p>
          <w:p w14:paraId="276AD585" w14:textId="77777777" w:rsidR="004D2091" w:rsidRPr="00C0475A" w:rsidRDefault="004D2091" w:rsidP="004D2091">
            <w:pPr>
              <w:ind w:left="567"/>
            </w:pPr>
            <w:r w:rsidRPr="00C0475A">
              <w:t xml:space="preserve">Implement a plastic indexing tool to map and track the types, quantities and fates of each type of plastic encountered  </w:t>
            </w:r>
          </w:p>
          <w:p w14:paraId="488E1693" w14:textId="77777777" w:rsidR="004D2091" w:rsidRPr="00C0475A" w:rsidRDefault="004D2091" w:rsidP="004D2091">
            <w:pPr>
              <w:ind w:left="567"/>
            </w:pPr>
            <w:r w:rsidRPr="00C0475A">
              <w:t xml:space="preserve">Establish the baseline of current plastic used and identify the opportunities and challenges to improve performance </w:t>
            </w:r>
          </w:p>
          <w:p w14:paraId="0E04D547" w14:textId="77777777" w:rsidR="004D2091" w:rsidRPr="00C0475A" w:rsidRDefault="004D2091" w:rsidP="004D2091">
            <w:pPr>
              <w:ind w:left="567"/>
            </w:pPr>
            <w:r w:rsidRPr="00C0475A">
              <w:t>Establish key metrics for measuring performance overtime</w:t>
            </w:r>
          </w:p>
          <w:p w14:paraId="6A76D065" w14:textId="77777777" w:rsidR="004D2091" w:rsidRPr="00C0475A" w:rsidRDefault="004D2091" w:rsidP="004D2091">
            <w:pPr>
              <w:ind w:left="567"/>
            </w:pPr>
            <w:r w:rsidRPr="00C0475A">
              <w:t>Develop Roadmap of plastic improvement across each Department</w:t>
            </w:r>
          </w:p>
          <w:p w14:paraId="6B259718" w14:textId="77777777" w:rsidR="004D2091" w:rsidRPr="00C0475A" w:rsidRDefault="004D2091" w:rsidP="004D2091">
            <w:pPr>
              <w:ind w:left="567"/>
            </w:pPr>
            <w:r w:rsidRPr="00C0475A">
              <w:t>Provide training and guidance on the implementation of software tools to measure, manage and report</w:t>
            </w:r>
          </w:p>
          <w:p w14:paraId="1C225CD8" w14:textId="77777777" w:rsidR="004D2091" w:rsidRPr="00C0475A" w:rsidRDefault="004D2091" w:rsidP="004D2091">
            <w:pPr>
              <w:ind w:left="567"/>
            </w:pPr>
            <w:r w:rsidRPr="00C0475A">
              <w:t xml:space="preserve">Provide introductory training to relevant staff </w:t>
            </w:r>
          </w:p>
          <w:p w14:paraId="5437A2C0" w14:textId="6D509E50" w:rsidR="004D2091" w:rsidRPr="04F3EDC8" w:rsidRDefault="004D2091" w:rsidP="004D2091">
            <w:pPr>
              <w:ind w:left="567"/>
              <w:rPr>
                <w:b/>
                <w:bCs/>
              </w:rPr>
            </w:pPr>
            <w:r w:rsidRPr="00C0475A">
              <w:t>Assist with access to other tools and resources for responsible plastic management</w:t>
            </w:r>
          </w:p>
        </w:tc>
      </w:tr>
      <w:tr w:rsidR="004D2091" w14:paraId="66886BB6" w14:textId="77777777" w:rsidTr="7DEB5AAD">
        <w:tc>
          <w:tcPr>
            <w:tcW w:w="14879" w:type="dxa"/>
          </w:tcPr>
          <w:p w14:paraId="783F8C50" w14:textId="55E6219A" w:rsidR="004D2091" w:rsidRPr="00DC6F73" w:rsidRDefault="004D2091" w:rsidP="004D2091">
            <w:pPr>
              <w:ind w:left="504"/>
              <w:rPr>
                <w:b/>
                <w:bCs/>
              </w:rPr>
            </w:pPr>
            <w:r w:rsidRPr="04F3EDC8">
              <w:rPr>
                <w:b/>
                <w:bCs/>
              </w:rPr>
              <w:t>4.1</w:t>
            </w:r>
            <w:r w:rsidR="00DE78C9">
              <w:rPr>
                <w:b/>
                <w:bCs/>
              </w:rPr>
              <w:t>5</w:t>
            </w:r>
            <w:r w:rsidRPr="04F3EDC8">
              <w:rPr>
                <w:b/>
                <w:bCs/>
              </w:rPr>
              <w:t xml:space="preserve"> Sustainable Logistics</w:t>
            </w:r>
          </w:p>
          <w:p w14:paraId="34DB924D" w14:textId="681731F7" w:rsidR="004D2091" w:rsidRPr="003A3721" w:rsidRDefault="004D2091" w:rsidP="004D2091">
            <w:pPr>
              <w:ind w:left="504"/>
            </w:pPr>
            <w:r>
              <w:t>Provide training/advice to measurably reduce greenhouse gas emissions and air pollutants &amp; improve fuel efficiency based on the GLEC framework or similar. Scope may include all modes (road, rail, sea, air), sub-suppliers, city and reverse logistics, and their internal and external impacts</w:t>
            </w:r>
          </w:p>
        </w:tc>
      </w:tr>
      <w:tr w:rsidR="004D2091" w14:paraId="6CBEF6B5" w14:textId="77777777" w:rsidTr="7DEB5AAD">
        <w:tc>
          <w:tcPr>
            <w:tcW w:w="14879" w:type="dxa"/>
          </w:tcPr>
          <w:p w14:paraId="3C6E7D4F" w14:textId="43A6B05D" w:rsidR="004D2091" w:rsidRDefault="004D2091" w:rsidP="004D2091">
            <w:pPr>
              <w:ind w:left="504"/>
              <w:rPr>
                <w:b/>
                <w:bCs/>
              </w:rPr>
            </w:pPr>
            <w:r>
              <w:rPr>
                <w:b/>
                <w:bCs/>
              </w:rPr>
              <w:t>4.1</w:t>
            </w:r>
            <w:r w:rsidR="00DE78C9">
              <w:rPr>
                <w:b/>
                <w:bCs/>
              </w:rPr>
              <w:t>6</w:t>
            </w:r>
            <w:r>
              <w:rPr>
                <w:b/>
                <w:bCs/>
              </w:rPr>
              <w:t xml:space="preserve"> Biodiversity </w:t>
            </w:r>
          </w:p>
          <w:p w14:paraId="1A65D91D" w14:textId="695DF56F" w:rsidR="004D2091" w:rsidRDefault="004D2091" w:rsidP="004D2091">
            <w:pPr>
              <w:ind w:left="504"/>
            </w:pPr>
            <w:r w:rsidRPr="00484E2F">
              <w:t>Provide training/mentoring on biodiversity awareness</w:t>
            </w:r>
            <w:r>
              <w:t xml:space="preserve"> </w:t>
            </w:r>
          </w:p>
          <w:p w14:paraId="00BF256F" w14:textId="16E2D085" w:rsidR="004D2091" w:rsidRDefault="004D2091" w:rsidP="004D2091">
            <w:pPr>
              <w:ind w:left="504"/>
            </w:pPr>
            <w:r w:rsidRPr="005B02A6">
              <w:t>Gain an understanding of the environmental impacts of</w:t>
            </w:r>
            <w:r>
              <w:t xml:space="preserve"> the business and of</w:t>
            </w:r>
            <w:r w:rsidRPr="005B02A6">
              <w:t xml:space="preserve"> upstream and downstream activities</w:t>
            </w:r>
            <w:r>
              <w:t xml:space="preserve">, </w:t>
            </w:r>
            <w:r w:rsidRPr="00BE0D6D">
              <w:t>e.g. extraction of raw materials, processing and use of products/service</w:t>
            </w:r>
            <w:r>
              <w:t>,</w:t>
            </w:r>
            <w:r w:rsidRPr="005B02A6">
              <w:t xml:space="preserve"> to identify areas to focus improvement activities on</w:t>
            </w:r>
          </w:p>
          <w:p w14:paraId="189940ED" w14:textId="77777777" w:rsidR="004D2091" w:rsidRDefault="004D2091" w:rsidP="004D2091">
            <w:pPr>
              <w:ind w:left="504"/>
            </w:pPr>
            <w:r>
              <w:t>D</w:t>
            </w:r>
            <w:r w:rsidRPr="00484E2F">
              <w:t xml:space="preserve">evelop a biodiversity </w:t>
            </w:r>
            <w:r>
              <w:t xml:space="preserve">policy and </w:t>
            </w:r>
            <w:r w:rsidRPr="00484E2F">
              <w:t>action plan</w:t>
            </w:r>
          </w:p>
          <w:p w14:paraId="4CD2184B" w14:textId="77777777" w:rsidR="004D2091" w:rsidRDefault="004D2091" w:rsidP="004D2091">
            <w:pPr>
              <w:ind w:left="504"/>
            </w:pPr>
            <w:r>
              <w:t>Provide training and guidance on the implementation of software tools to measure, manage and report</w:t>
            </w:r>
          </w:p>
          <w:p w14:paraId="32FAC160" w14:textId="77777777" w:rsidR="004D2091" w:rsidRDefault="004D2091" w:rsidP="004D2091">
            <w:pPr>
              <w:ind w:left="504"/>
            </w:pPr>
            <w:r>
              <w:t xml:space="preserve">Provide introductory training to relevant staff </w:t>
            </w:r>
          </w:p>
          <w:p w14:paraId="5BF1F7DE" w14:textId="2D6A57F1" w:rsidR="004D2091" w:rsidRPr="00484E2F" w:rsidRDefault="004D2091" w:rsidP="004D2091">
            <w:pPr>
              <w:ind w:left="504"/>
            </w:pPr>
            <w:r>
              <w:t>Assist with access to other tools and resources to protect Biodiversity, natural environment, species and natural habitats</w:t>
            </w:r>
          </w:p>
        </w:tc>
      </w:tr>
      <w:tr w:rsidR="004D2091" w14:paraId="185A80EC" w14:textId="77777777" w:rsidTr="7DEB5AAD">
        <w:tc>
          <w:tcPr>
            <w:tcW w:w="14879" w:type="dxa"/>
          </w:tcPr>
          <w:p w14:paraId="5EE62523" w14:textId="6BD67D2C" w:rsidR="004D2091" w:rsidRDefault="004D2091" w:rsidP="004D2091">
            <w:pPr>
              <w:ind w:left="504"/>
              <w:rPr>
                <w:b/>
                <w:bCs/>
              </w:rPr>
            </w:pPr>
            <w:r w:rsidRPr="04F3EDC8">
              <w:rPr>
                <w:b/>
                <w:bCs/>
              </w:rPr>
              <w:t>4.1</w:t>
            </w:r>
            <w:r w:rsidR="00DE78C9">
              <w:rPr>
                <w:b/>
                <w:bCs/>
              </w:rPr>
              <w:t>7</w:t>
            </w:r>
            <w:r w:rsidRPr="04F3EDC8">
              <w:rPr>
                <w:b/>
                <w:bCs/>
              </w:rPr>
              <w:t xml:space="preserve"> Communications</w:t>
            </w:r>
          </w:p>
          <w:p w14:paraId="5B63A269" w14:textId="661F6EAF" w:rsidR="004D2091" w:rsidRPr="007E7D73" w:rsidRDefault="004D2091" w:rsidP="004D2091">
            <w:pPr>
              <w:ind w:left="504"/>
              <w:rPr>
                <w:b/>
                <w:bCs/>
              </w:rPr>
            </w:pPr>
            <w:r>
              <w:t>Provide training/advice on internal and external sustainability communications, messaging &amp; reporting</w:t>
            </w:r>
          </w:p>
        </w:tc>
      </w:tr>
      <w:tr w:rsidR="004D2091" w14:paraId="038F02BA" w14:textId="77777777" w:rsidTr="7DEB5AAD">
        <w:tc>
          <w:tcPr>
            <w:tcW w:w="14879" w:type="dxa"/>
          </w:tcPr>
          <w:p w14:paraId="2CE24F4E" w14:textId="225C6139" w:rsidR="004D2091" w:rsidRPr="003A3721" w:rsidRDefault="004D2091" w:rsidP="004D2091">
            <w:pPr>
              <w:ind w:left="504"/>
              <w:rPr>
                <w:b/>
                <w:bCs/>
              </w:rPr>
            </w:pPr>
            <w:r w:rsidRPr="04F3EDC8">
              <w:rPr>
                <w:b/>
                <w:bCs/>
              </w:rPr>
              <w:t>4.1</w:t>
            </w:r>
            <w:r w:rsidR="00DE78C9">
              <w:rPr>
                <w:b/>
                <w:bCs/>
              </w:rPr>
              <w:t>8</w:t>
            </w:r>
            <w:r w:rsidRPr="04F3EDC8">
              <w:rPr>
                <w:b/>
                <w:bCs/>
              </w:rPr>
              <w:t xml:space="preserve"> Employee &amp; Customer Engagement</w:t>
            </w:r>
          </w:p>
          <w:p w14:paraId="78EEFDE4" w14:textId="0109329D" w:rsidR="004D2091" w:rsidRPr="00407AD0" w:rsidRDefault="004D2091" w:rsidP="004D2091">
            <w:pPr>
              <w:ind w:left="504"/>
            </w:pPr>
            <w:r>
              <w:t>Provide training and advice to engage employees and customers, create an environmental awareness and achieve long term sustainable behavioural change</w:t>
            </w:r>
          </w:p>
        </w:tc>
      </w:tr>
      <w:tr w:rsidR="004D2091" w14:paraId="7D811958" w14:textId="77777777" w:rsidTr="7DEB5AAD">
        <w:tc>
          <w:tcPr>
            <w:tcW w:w="14879" w:type="dxa"/>
          </w:tcPr>
          <w:p w14:paraId="59C1218F" w14:textId="264FA9CF" w:rsidR="004D2091" w:rsidRDefault="004D2091" w:rsidP="004D2091">
            <w:pPr>
              <w:ind w:left="504"/>
              <w:rPr>
                <w:b/>
                <w:bCs/>
              </w:rPr>
            </w:pPr>
            <w:r w:rsidRPr="04F3EDC8">
              <w:rPr>
                <w:b/>
                <w:bCs/>
              </w:rPr>
              <w:t>4.1</w:t>
            </w:r>
            <w:r w:rsidR="00DE78C9">
              <w:rPr>
                <w:b/>
                <w:bCs/>
              </w:rPr>
              <w:t>9</w:t>
            </w:r>
            <w:r w:rsidRPr="04F3EDC8">
              <w:rPr>
                <w:b/>
                <w:bCs/>
              </w:rPr>
              <w:t xml:space="preserve"> Sustainability Benchmarking</w:t>
            </w:r>
          </w:p>
          <w:p w14:paraId="0CB10107" w14:textId="3BC39893" w:rsidR="004D2091" w:rsidRPr="005C4530" w:rsidRDefault="004D2091" w:rsidP="004D2091">
            <w:pPr>
              <w:ind w:left="504"/>
              <w:rPr>
                <w:b/>
                <w:bCs/>
              </w:rPr>
            </w:pPr>
            <w:r>
              <w:t>Facilitate Sustainability Benchmarking, e.g. Probe for Sustainability Excellence</w:t>
            </w:r>
          </w:p>
        </w:tc>
      </w:tr>
    </w:tbl>
    <w:p w14:paraId="5AAF24E0" w14:textId="028FA068" w:rsidR="00CF22E9" w:rsidRDefault="00CF22E9" w:rsidP="005B48E9">
      <w:pPr>
        <w:pStyle w:val="Heading1"/>
        <w:rPr>
          <w:rStyle w:val="Heading1Char"/>
        </w:rPr>
      </w:pPr>
      <w:bookmarkStart w:id="6" w:name="_Toc112072888"/>
      <w:r>
        <w:rPr>
          <w:rStyle w:val="Heading1Char"/>
        </w:rPr>
        <w:lastRenderedPageBreak/>
        <w:t>5</w:t>
      </w:r>
      <w:r w:rsidR="005B48E9">
        <w:tab/>
      </w:r>
      <w:r>
        <w:rPr>
          <w:rStyle w:val="Heading1Char"/>
        </w:rPr>
        <w:t>Ineligible Activities</w:t>
      </w:r>
      <w:r w:rsidR="009253B3">
        <w:rPr>
          <w:rStyle w:val="Heading1Char"/>
        </w:rPr>
        <w:t xml:space="preserve"> </w:t>
      </w:r>
      <w:r w:rsidR="002C042E">
        <w:rPr>
          <w:rStyle w:val="Heading1Char"/>
        </w:rPr>
        <w:t>/ Costs</w:t>
      </w:r>
      <w:bookmarkEnd w:id="6"/>
    </w:p>
    <w:p w14:paraId="21F1EEC2" w14:textId="38CF2A8B" w:rsidR="00984821" w:rsidRDefault="00984821" w:rsidP="00984821">
      <w:pPr>
        <w:spacing w:after="0"/>
        <w:ind w:right="-850"/>
      </w:pPr>
    </w:p>
    <w:p w14:paraId="7940031A" w14:textId="0530884D" w:rsidR="005C695F" w:rsidRDefault="005F53E9" w:rsidP="005C695F">
      <w:pPr>
        <w:pStyle w:val="ListParagraph"/>
        <w:numPr>
          <w:ilvl w:val="0"/>
          <w:numId w:val="19"/>
        </w:numPr>
        <w:spacing w:after="0"/>
        <w:ind w:right="-850"/>
      </w:pPr>
      <w:r>
        <w:t xml:space="preserve">Technical Feasibility Studies, </w:t>
      </w:r>
      <w:r w:rsidR="008A14D3" w:rsidRPr="008A14D3">
        <w:t xml:space="preserve">Capital costs e.g. </w:t>
      </w:r>
      <w:r w:rsidR="00CF22E9" w:rsidRPr="00B85A5A">
        <w:t>General Consultancy including Market research, IT implementation</w:t>
      </w:r>
      <w:r w:rsidR="00CF22E9" w:rsidRPr="006C6286">
        <w:t xml:space="preserve"> </w:t>
      </w:r>
      <w:r w:rsidR="00CF22E9">
        <w:t xml:space="preserve">e.g. </w:t>
      </w:r>
      <w:r w:rsidR="00CF22E9" w:rsidRPr="006C6286">
        <w:t>installation and customisation of</w:t>
      </w:r>
      <w:r w:rsidR="00CF22E9">
        <w:t xml:space="preserve"> analytic platforms</w:t>
      </w:r>
      <w:r w:rsidR="00CF22E9" w:rsidRPr="00B85A5A">
        <w:t>, Financial review and planning, HR consulting or Health and Safety training</w:t>
      </w:r>
      <w:r w:rsidR="00CF22E9">
        <w:t xml:space="preserve"> are not eligible. </w:t>
      </w:r>
    </w:p>
    <w:p w14:paraId="204152D1" w14:textId="1E750E05" w:rsidR="00030936" w:rsidRDefault="0027763C" w:rsidP="00030936">
      <w:pPr>
        <w:pStyle w:val="ListParagraph"/>
        <w:numPr>
          <w:ilvl w:val="0"/>
          <w:numId w:val="19"/>
        </w:numPr>
        <w:spacing w:after="0"/>
        <w:ind w:right="-850"/>
      </w:pPr>
      <w:r>
        <w:t>Energy audits by companies already required to carry out an energy audit under the Energy Efficiency Directive are not eligible.</w:t>
      </w:r>
      <w:r w:rsidR="007F5D3F">
        <w:t xml:space="preserve"> </w:t>
      </w:r>
    </w:p>
    <w:p w14:paraId="6D92F7F8" w14:textId="77777777" w:rsidR="00030936" w:rsidRDefault="00030936" w:rsidP="00030936">
      <w:pPr>
        <w:spacing w:after="0"/>
        <w:ind w:right="-850"/>
      </w:pPr>
    </w:p>
    <w:p w14:paraId="4DD2DEAA" w14:textId="6C83F9B5" w:rsidR="00030936" w:rsidRPr="007542AD" w:rsidRDefault="00906E81" w:rsidP="0085400C">
      <w:pPr>
        <w:pStyle w:val="Heading1"/>
        <w:numPr>
          <w:ilvl w:val="0"/>
          <w:numId w:val="26"/>
        </w:numPr>
        <w:ind w:left="360"/>
        <w:rPr>
          <w:lang w:val="en-GB"/>
        </w:rPr>
      </w:pPr>
      <w:bookmarkStart w:id="7" w:name="_Toc112072889"/>
      <w:r>
        <w:t xml:space="preserve">Environmental Legislation </w:t>
      </w:r>
      <w:r>
        <w:rPr>
          <w:lang w:val="en-GB"/>
        </w:rPr>
        <w:t xml:space="preserve">&amp; </w:t>
      </w:r>
      <w:r w:rsidR="00030936" w:rsidRPr="00030936">
        <w:rPr>
          <w:lang w:val="en-GB"/>
        </w:rPr>
        <w:t xml:space="preserve">Do </w:t>
      </w:r>
      <w:r w:rsidR="0062621D">
        <w:rPr>
          <w:lang w:val="en-GB"/>
        </w:rPr>
        <w:t>N</w:t>
      </w:r>
      <w:r w:rsidR="00030936" w:rsidRPr="00030936">
        <w:rPr>
          <w:lang w:val="en-GB"/>
        </w:rPr>
        <w:t xml:space="preserve">o </w:t>
      </w:r>
      <w:r w:rsidR="0062621D">
        <w:rPr>
          <w:lang w:val="en-GB"/>
        </w:rPr>
        <w:t>S</w:t>
      </w:r>
      <w:r w:rsidR="00030936" w:rsidRPr="00030936">
        <w:rPr>
          <w:lang w:val="en-GB"/>
        </w:rPr>
        <w:t xml:space="preserve">ignificant </w:t>
      </w:r>
      <w:r w:rsidR="0062621D">
        <w:rPr>
          <w:lang w:val="en-GB"/>
        </w:rPr>
        <w:t>H</w:t>
      </w:r>
      <w:r w:rsidR="00030936" w:rsidRPr="00030936">
        <w:rPr>
          <w:lang w:val="en-GB"/>
        </w:rPr>
        <w:t>arm</w:t>
      </w:r>
      <w:r>
        <w:rPr>
          <w:lang w:val="en-GB"/>
        </w:rPr>
        <w:t xml:space="preserve"> Compliance</w:t>
      </w:r>
      <w:bookmarkEnd w:id="7"/>
    </w:p>
    <w:p w14:paraId="74DFBD77" w14:textId="77777777" w:rsidR="00313872" w:rsidRDefault="00313872" w:rsidP="00030936">
      <w:pPr>
        <w:spacing w:after="0" w:line="240" w:lineRule="auto"/>
        <w:ind w:left="-850" w:right="-850"/>
        <w:jc w:val="both"/>
        <w:textAlignment w:val="baseline"/>
        <w:rPr>
          <w:rFonts w:eastAsia="Arial MT" w:cstheme="minorHAnsi"/>
          <w:color w:val="000000" w:themeColor="text1"/>
        </w:rPr>
      </w:pPr>
    </w:p>
    <w:p w14:paraId="4CCA3330" w14:textId="601EDE50" w:rsidR="00313872" w:rsidRPr="001E6315" w:rsidRDefault="0068438D" w:rsidP="002E16F9">
      <w:pPr>
        <w:pStyle w:val="ListParagraph"/>
        <w:spacing w:after="0" w:line="240" w:lineRule="auto"/>
        <w:ind w:left="0" w:right="-850" w:hanging="850"/>
        <w:jc w:val="both"/>
        <w:textAlignment w:val="baseline"/>
        <w:rPr>
          <w:rFonts w:eastAsia="Arial MT" w:cstheme="minorHAnsi"/>
          <w:color w:val="000000" w:themeColor="text1"/>
        </w:rPr>
      </w:pPr>
      <w:r>
        <w:rPr>
          <w:rFonts w:eastAsia="Arial MT" w:cstheme="minorHAnsi"/>
          <w:color w:val="000000" w:themeColor="text1"/>
        </w:rPr>
        <w:t>6.1</w:t>
      </w:r>
      <w:r>
        <w:rPr>
          <w:rFonts w:eastAsia="Arial MT" w:cstheme="minorHAnsi"/>
          <w:color w:val="000000" w:themeColor="text1"/>
        </w:rPr>
        <w:tab/>
      </w:r>
      <w:r w:rsidR="00313872" w:rsidRPr="001E6315">
        <w:rPr>
          <w:rFonts w:eastAsia="Arial MT" w:cstheme="minorHAnsi"/>
          <w:color w:val="000000" w:themeColor="text1"/>
        </w:rPr>
        <w:t>All projects supported under the Green Transition fund</w:t>
      </w:r>
      <w:r w:rsidR="00375229" w:rsidRPr="00375229">
        <w:t xml:space="preserve"> </w:t>
      </w:r>
      <w:r w:rsidR="00375229">
        <w:t xml:space="preserve">and the </w:t>
      </w:r>
      <w:r w:rsidR="00375229" w:rsidRPr="00375229">
        <w:rPr>
          <w:rFonts w:eastAsia="Arial MT" w:cstheme="minorHAnsi"/>
          <w:color w:val="000000" w:themeColor="text1"/>
        </w:rPr>
        <w:t>EU’s Recovery and Resilience Facility (RRF)</w:t>
      </w:r>
      <w:r w:rsidR="00313872" w:rsidRPr="001E6315">
        <w:rPr>
          <w:rFonts w:eastAsia="Arial MT" w:cstheme="minorHAnsi"/>
          <w:color w:val="000000" w:themeColor="text1"/>
        </w:rPr>
        <w:t xml:space="preserve"> must comply with relevant EU and national environmental legislation and in particular with the ‘Do no significant harm’ Technical Guidance (2021/C58/01).</w:t>
      </w:r>
    </w:p>
    <w:p w14:paraId="041AA53D" w14:textId="77777777" w:rsidR="00313872" w:rsidRPr="00313872" w:rsidRDefault="00313872" w:rsidP="00313872">
      <w:pPr>
        <w:spacing w:after="0" w:line="240" w:lineRule="auto"/>
        <w:ind w:left="-850" w:right="-850"/>
        <w:jc w:val="both"/>
        <w:textAlignment w:val="baseline"/>
        <w:rPr>
          <w:rFonts w:eastAsia="Arial MT" w:cstheme="minorHAnsi"/>
          <w:color w:val="000000" w:themeColor="text1"/>
        </w:rPr>
      </w:pPr>
    </w:p>
    <w:p w14:paraId="0D41BEC0" w14:textId="77777777" w:rsidR="00313872" w:rsidRPr="00313872" w:rsidRDefault="00313872" w:rsidP="00313872">
      <w:pPr>
        <w:spacing w:after="0" w:line="240" w:lineRule="auto"/>
        <w:ind w:left="-850" w:right="-850"/>
        <w:jc w:val="both"/>
        <w:textAlignment w:val="baseline"/>
        <w:rPr>
          <w:rFonts w:eastAsia="Arial MT" w:cstheme="minorHAnsi"/>
          <w:color w:val="000000" w:themeColor="text1"/>
        </w:rPr>
      </w:pPr>
      <w:r w:rsidRPr="00313872">
        <w:rPr>
          <w:rFonts w:eastAsia="Arial MT" w:cstheme="minorHAnsi"/>
          <w:color w:val="000000" w:themeColor="text1"/>
        </w:rPr>
        <w:t>Specifically the following projects are not eligible:</w:t>
      </w:r>
    </w:p>
    <w:p w14:paraId="2E3F77F6" w14:textId="77777777" w:rsidR="00313872" w:rsidRPr="00313872" w:rsidRDefault="00313872" w:rsidP="00313872">
      <w:pPr>
        <w:spacing w:after="0" w:line="240" w:lineRule="auto"/>
        <w:ind w:left="-850" w:right="-850"/>
        <w:jc w:val="both"/>
        <w:textAlignment w:val="baseline"/>
        <w:rPr>
          <w:rFonts w:eastAsia="Arial MT" w:cstheme="minorHAnsi"/>
          <w:color w:val="000000" w:themeColor="text1"/>
        </w:rPr>
      </w:pPr>
    </w:p>
    <w:p w14:paraId="53E9D249" w14:textId="6911281C" w:rsidR="00313872" w:rsidRPr="00313872" w:rsidRDefault="00313872" w:rsidP="00313872">
      <w:pPr>
        <w:pStyle w:val="ListParagraph"/>
        <w:numPr>
          <w:ilvl w:val="0"/>
          <w:numId w:val="23"/>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fossil fuels, including downstream use</w:t>
      </w:r>
      <w:r w:rsidR="007542AD">
        <w:rPr>
          <w:rStyle w:val="FootnoteReference"/>
          <w:rFonts w:eastAsia="Arial MT" w:cstheme="minorHAnsi"/>
          <w:color w:val="000000" w:themeColor="text1"/>
        </w:rPr>
        <w:footnoteReference w:id="2"/>
      </w:r>
    </w:p>
    <w:p w14:paraId="4C352405" w14:textId="7E5C6B54" w:rsidR="00313872" w:rsidRPr="00313872" w:rsidRDefault="00313872" w:rsidP="00313872">
      <w:pPr>
        <w:pStyle w:val="ListParagraph"/>
        <w:numPr>
          <w:ilvl w:val="0"/>
          <w:numId w:val="23"/>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under the EU Emission Trading System (ETS) achieving projected greenhouse gas emissions that are not lower than the relevant benchmarks</w:t>
      </w:r>
      <w:r w:rsidR="007542AD">
        <w:rPr>
          <w:rStyle w:val="FootnoteReference"/>
          <w:rFonts w:eastAsia="Arial MT" w:cstheme="minorHAnsi"/>
          <w:color w:val="000000" w:themeColor="text1"/>
        </w:rPr>
        <w:footnoteReference w:id="3"/>
      </w:r>
      <w:r w:rsidRPr="00313872">
        <w:rPr>
          <w:rFonts w:eastAsia="Arial MT" w:cstheme="minorHAnsi"/>
          <w:color w:val="000000" w:themeColor="text1"/>
        </w:rPr>
        <w:t>;</w:t>
      </w:r>
    </w:p>
    <w:p w14:paraId="2DB3A411" w14:textId="2E84A154" w:rsidR="00313872" w:rsidRPr="00313872" w:rsidRDefault="00313872" w:rsidP="00313872">
      <w:pPr>
        <w:pStyle w:val="ListParagraph"/>
        <w:numPr>
          <w:ilvl w:val="0"/>
          <w:numId w:val="23"/>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related to waste landfills, incinerators</w:t>
      </w:r>
      <w:r w:rsidR="007542AD">
        <w:rPr>
          <w:rStyle w:val="FootnoteReference"/>
          <w:rFonts w:eastAsia="Arial MT" w:cstheme="minorHAnsi"/>
          <w:color w:val="000000" w:themeColor="text1"/>
        </w:rPr>
        <w:footnoteReference w:id="4"/>
      </w:r>
      <w:r w:rsidRPr="00313872">
        <w:rPr>
          <w:rFonts w:eastAsia="Arial MT" w:cstheme="minorHAnsi"/>
          <w:color w:val="000000" w:themeColor="text1"/>
        </w:rPr>
        <w:t xml:space="preserve"> and mechanical biological treatment plants</w:t>
      </w:r>
      <w:r w:rsidR="007542AD">
        <w:rPr>
          <w:rStyle w:val="FootnoteReference"/>
          <w:rFonts w:eastAsia="Arial MT" w:cstheme="minorHAnsi"/>
          <w:color w:val="000000" w:themeColor="text1"/>
        </w:rPr>
        <w:footnoteReference w:id="5"/>
      </w:r>
      <w:r w:rsidRPr="00313872">
        <w:rPr>
          <w:rFonts w:eastAsia="Arial MT" w:cstheme="minorHAnsi"/>
          <w:color w:val="000000" w:themeColor="text1"/>
        </w:rPr>
        <w:t>; and</w:t>
      </w:r>
    </w:p>
    <w:p w14:paraId="0D92E6D6" w14:textId="77777777" w:rsidR="00B76A58" w:rsidRDefault="00313872" w:rsidP="00B76A58">
      <w:pPr>
        <w:pStyle w:val="ListParagraph"/>
        <w:numPr>
          <w:ilvl w:val="0"/>
          <w:numId w:val="23"/>
        </w:numPr>
        <w:spacing w:after="0" w:line="240" w:lineRule="auto"/>
        <w:ind w:right="-850"/>
        <w:jc w:val="both"/>
        <w:textAlignment w:val="baseline"/>
        <w:rPr>
          <w:rFonts w:eastAsia="Arial MT" w:cstheme="minorHAnsi"/>
          <w:color w:val="000000" w:themeColor="text1"/>
        </w:rPr>
      </w:pPr>
      <w:r w:rsidRPr="00313872">
        <w:rPr>
          <w:rFonts w:eastAsia="Arial MT" w:cstheme="minorHAnsi"/>
          <w:color w:val="000000" w:themeColor="text1"/>
        </w:rPr>
        <w:t>activities where the long-term disposal of waste may cause harm to the environment</w:t>
      </w:r>
      <w:r w:rsidR="00B76A58">
        <w:rPr>
          <w:rFonts w:eastAsia="Arial MT" w:cstheme="minorHAnsi"/>
          <w:color w:val="000000" w:themeColor="text1"/>
        </w:rPr>
        <w:t>.</w:t>
      </w:r>
    </w:p>
    <w:p w14:paraId="54CCC7C0" w14:textId="77777777" w:rsidR="00B76A58" w:rsidRDefault="00B76A58" w:rsidP="00B76A58">
      <w:pPr>
        <w:pStyle w:val="ListParagraph"/>
        <w:spacing w:after="0" w:line="240" w:lineRule="auto"/>
        <w:ind w:left="-130" w:right="-850"/>
        <w:jc w:val="both"/>
        <w:textAlignment w:val="baseline"/>
        <w:rPr>
          <w:rFonts w:eastAsia="Arial MT" w:cstheme="minorHAnsi"/>
          <w:color w:val="000000" w:themeColor="text1"/>
        </w:rPr>
      </w:pPr>
    </w:p>
    <w:p w14:paraId="7205B9B0" w14:textId="77777777" w:rsidR="006B63AE" w:rsidRDefault="00040A52" w:rsidP="006B63AE">
      <w:pPr>
        <w:spacing w:after="0" w:line="240" w:lineRule="auto"/>
        <w:ind w:left="-850" w:right="-850"/>
        <w:jc w:val="both"/>
        <w:textAlignment w:val="baseline"/>
        <w:rPr>
          <w:rFonts w:eastAsia="Arial MT" w:cstheme="minorHAnsi"/>
          <w:color w:val="000000" w:themeColor="text1"/>
        </w:rPr>
      </w:pPr>
      <w:r w:rsidRPr="00B76A58">
        <w:rPr>
          <w:rFonts w:eastAsia="Arial MT" w:cstheme="minorHAnsi"/>
          <w:color w:val="000000" w:themeColor="text1"/>
        </w:rPr>
        <w:t xml:space="preserve">Applicants are required to confirm compliance </w:t>
      </w:r>
      <w:r w:rsidR="00B76A58" w:rsidRPr="00B76A58">
        <w:rPr>
          <w:rFonts w:eastAsia="Arial MT" w:cstheme="minorHAnsi"/>
          <w:color w:val="000000" w:themeColor="text1"/>
        </w:rPr>
        <w:t>with relevant EU and National environmental legislations and the ineligible projects listed above</w:t>
      </w:r>
      <w:r w:rsidR="00B76A58">
        <w:rPr>
          <w:rFonts w:eastAsia="Arial MT" w:cstheme="minorHAnsi"/>
          <w:color w:val="000000" w:themeColor="text1"/>
        </w:rPr>
        <w:t>.</w:t>
      </w:r>
    </w:p>
    <w:p w14:paraId="2DB4FFE4" w14:textId="45EDAEED" w:rsidR="00030936" w:rsidRPr="00DA49AF" w:rsidRDefault="006B63AE" w:rsidP="006B63AE">
      <w:pPr>
        <w:spacing w:after="0" w:line="240" w:lineRule="auto"/>
        <w:ind w:left="-850" w:right="-850"/>
        <w:jc w:val="both"/>
        <w:textAlignment w:val="baseline"/>
        <w:rPr>
          <w:rFonts w:eastAsia="Arial MT" w:cstheme="minorHAnsi"/>
          <w:color w:val="000000" w:themeColor="text1"/>
        </w:rPr>
      </w:pPr>
      <w:r>
        <w:rPr>
          <w:rFonts w:eastAsia="Arial MT" w:cstheme="minorHAnsi"/>
          <w:color w:val="000000" w:themeColor="text1"/>
        </w:rPr>
        <w:lastRenderedPageBreak/>
        <w:t>6.2</w:t>
      </w:r>
      <w:r>
        <w:rPr>
          <w:rFonts w:eastAsia="Arial MT" w:cstheme="minorHAnsi"/>
          <w:color w:val="000000" w:themeColor="text1"/>
        </w:rPr>
        <w:tab/>
      </w:r>
      <w:r w:rsidR="00030936" w:rsidRPr="00DA49AF">
        <w:rPr>
          <w:rFonts w:eastAsia="Arial MT" w:cstheme="minorHAnsi"/>
          <w:color w:val="000000" w:themeColor="text1"/>
        </w:rPr>
        <w:t>The EU’s Recovery and Resilience Facility (RRF) requires that no measure (i.e. no investment or reform) should lead to significant harm to any of the six environmental objectives set out under Article 17 of the EU Regulation on the framework for sustainable investment (‘Do No Significant Harm’)</w:t>
      </w:r>
      <w:r w:rsidR="00030936">
        <w:rPr>
          <w:rStyle w:val="FootnoteReference"/>
          <w:rFonts w:eastAsia="Arial MT" w:cstheme="minorHAnsi"/>
          <w:color w:val="000000" w:themeColor="text1"/>
        </w:rPr>
        <w:footnoteReference w:id="6"/>
      </w:r>
      <w:r w:rsidR="00030936" w:rsidRPr="00DA49AF">
        <w:rPr>
          <w:rFonts w:eastAsia="Arial MT" w:cstheme="minorHAnsi"/>
          <w:color w:val="000000" w:themeColor="text1"/>
        </w:rPr>
        <w:t>. </w:t>
      </w:r>
    </w:p>
    <w:p w14:paraId="13C9A965" w14:textId="77777777" w:rsidR="00030936" w:rsidRPr="007E741C" w:rsidRDefault="00030936" w:rsidP="00030936">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 </w:t>
      </w:r>
    </w:p>
    <w:p w14:paraId="3A7439D2" w14:textId="438168A3" w:rsidR="00030936" w:rsidRPr="007E741C" w:rsidRDefault="00030936" w:rsidP="00030936">
      <w:pPr>
        <w:spacing w:after="0" w:line="240" w:lineRule="auto"/>
        <w:ind w:left="-850" w:right="-850"/>
        <w:jc w:val="both"/>
        <w:textAlignment w:val="baseline"/>
        <w:rPr>
          <w:rFonts w:eastAsia="Arial MT" w:cstheme="minorHAnsi"/>
          <w:color w:val="000000" w:themeColor="text1"/>
        </w:rPr>
      </w:pPr>
      <w:r w:rsidRPr="007E741C">
        <w:rPr>
          <w:rFonts w:eastAsia="Arial MT" w:cstheme="minorHAnsi"/>
          <w:color w:val="000000" w:themeColor="text1"/>
        </w:rPr>
        <w:t>Applicants are required to confirm that the supported project will comply with these requirements., i.e. that the project will do no significant harm (DNSH) to the environmental objectives under each of the six headings. These are set out in the table below, with a description of each objective provided.   A brief justification for compliance with the objectives is required</w:t>
      </w:r>
      <w:r w:rsidR="00814DA1">
        <w:rPr>
          <w:rFonts w:eastAsia="Arial MT" w:cstheme="minorHAnsi"/>
          <w:color w:val="000000" w:themeColor="text1"/>
        </w:rPr>
        <w:t xml:space="preserve"> </w:t>
      </w:r>
      <w:r w:rsidR="001D6876">
        <w:rPr>
          <w:rFonts w:eastAsia="Arial MT" w:cstheme="minorHAnsi"/>
          <w:color w:val="000000" w:themeColor="text1"/>
        </w:rPr>
        <w:t>in the application</w:t>
      </w:r>
      <w:r w:rsidR="00E22CEC">
        <w:rPr>
          <w:rFonts w:eastAsia="Arial MT" w:cstheme="minorHAnsi"/>
          <w:color w:val="000000" w:themeColor="text1"/>
        </w:rPr>
        <w:t xml:space="preserve"> (sample text</w:t>
      </w:r>
      <w:r w:rsidR="00214F90">
        <w:rPr>
          <w:rFonts w:eastAsia="Arial MT" w:cstheme="minorHAnsi"/>
          <w:color w:val="000000" w:themeColor="text1"/>
        </w:rPr>
        <w:t xml:space="preserve"> is given below</w:t>
      </w:r>
      <w:r w:rsidR="00E22CEC">
        <w:rPr>
          <w:rFonts w:eastAsia="Arial MT" w:cstheme="minorHAnsi"/>
          <w:color w:val="000000" w:themeColor="text1"/>
        </w:rPr>
        <w:t>)</w:t>
      </w:r>
      <w:r w:rsidR="00214F90">
        <w:rPr>
          <w:rFonts w:eastAsia="Arial MT" w:cstheme="minorHAnsi"/>
          <w:color w:val="000000" w:themeColor="text1"/>
        </w:rPr>
        <w:t>.</w:t>
      </w:r>
    </w:p>
    <w:p w14:paraId="17DAF4A0" w14:textId="77777777" w:rsidR="00030936" w:rsidRPr="007E741C" w:rsidRDefault="00030936" w:rsidP="00030936">
      <w:pPr>
        <w:spacing w:after="0" w:line="240" w:lineRule="auto"/>
        <w:jc w:val="both"/>
        <w:rPr>
          <w:rFonts w:cstheme="minorHAnsi"/>
          <w:color w:val="000000" w:themeColor="text1"/>
          <w:lang w:val="en-GB"/>
        </w:rPr>
      </w:pPr>
    </w:p>
    <w:tbl>
      <w:tblPr>
        <w:tblStyle w:val="TableGrid1"/>
        <w:tblpPr w:leftFromText="180" w:rightFromText="180" w:vertAnchor="text" w:tblpY="1"/>
        <w:tblOverlap w:val="never"/>
        <w:tblW w:w="11766" w:type="dxa"/>
        <w:tblLayout w:type="fixed"/>
        <w:tblLook w:val="04A0" w:firstRow="1" w:lastRow="0" w:firstColumn="1" w:lastColumn="0" w:noHBand="0" w:noVBand="1"/>
      </w:tblPr>
      <w:tblGrid>
        <w:gridCol w:w="2600"/>
        <w:gridCol w:w="4913"/>
        <w:gridCol w:w="4253"/>
      </w:tblGrid>
      <w:tr w:rsidR="00030936" w:rsidRPr="007E741C" w14:paraId="2897C52A" w14:textId="77777777" w:rsidTr="00E16B3D">
        <w:tc>
          <w:tcPr>
            <w:tcW w:w="2600" w:type="dxa"/>
            <w:tcBorders>
              <w:top w:val="single" w:sz="8" w:space="0" w:color="auto"/>
              <w:left w:val="single" w:sz="8" w:space="0" w:color="auto"/>
              <w:bottom w:val="single" w:sz="8" w:space="0" w:color="auto"/>
              <w:right w:val="single" w:sz="8" w:space="0" w:color="auto"/>
            </w:tcBorders>
          </w:tcPr>
          <w:p w14:paraId="45E74E9B" w14:textId="77777777" w:rsidR="00030936" w:rsidRPr="007E741C" w:rsidRDefault="00030936" w:rsidP="00E16B3D">
            <w:pPr>
              <w:contextualSpacing/>
              <w:rPr>
                <w:rFonts w:cstheme="minorHAnsi"/>
                <w:color w:val="000000" w:themeColor="text1"/>
                <w:sz w:val="18"/>
                <w:szCs w:val="18"/>
              </w:rPr>
            </w:pPr>
            <w:r w:rsidRPr="007E741C">
              <w:rPr>
                <w:rFonts w:eastAsia="Calibri" w:cstheme="minorHAnsi"/>
                <w:b/>
                <w:bCs/>
                <w:color w:val="000000" w:themeColor="text1"/>
                <w:sz w:val="18"/>
                <w:szCs w:val="18"/>
              </w:rPr>
              <w:t>Objective</w:t>
            </w:r>
          </w:p>
        </w:tc>
        <w:tc>
          <w:tcPr>
            <w:tcW w:w="9166" w:type="dxa"/>
            <w:gridSpan w:val="2"/>
            <w:tcBorders>
              <w:top w:val="single" w:sz="8" w:space="0" w:color="auto"/>
              <w:left w:val="single" w:sz="8" w:space="0" w:color="auto"/>
              <w:bottom w:val="single" w:sz="8" w:space="0" w:color="auto"/>
              <w:right w:val="single" w:sz="8" w:space="0" w:color="auto"/>
            </w:tcBorders>
          </w:tcPr>
          <w:p w14:paraId="55BF57CA" w14:textId="77777777" w:rsidR="00030936" w:rsidRPr="007E741C" w:rsidRDefault="00030936" w:rsidP="00E16B3D">
            <w:pPr>
              <w:rPr>
                <w:rFonts w:cstheme="minorHAnsi"/>
                <w:color w:val="000000" w:themeColor="text1"/>
                <w:sz w:val="18"/>
                <w:szCs w:val="18"/>
              </w:rPr>
            </w:pPr>
            <w:r w:rsidRPr="007E741C">
              <w:rPr>
                <w:rFonts w:eastAsia="Calibri" w:cstheme="minorHAnsi"/>
                <w:b/>
                <w:bCs/>
                <w:color w:val="000000" w:themeColor="text1"/>
                <w:sz w:val="18"/>
                <w:szCs w:val="18"/>
              </w:rPr>
              <w:t>Description of DNSH objective</w:t>
            </w:r>
          </w:p>
        </w:tc>
      </w:tr>
      <w:tr w:rsidR="00030936" w:rsidRPr="007E741C" w14:paraId="35212451" w14:textId="77777777" w:rsidTr="00E16B3D">
        <w:tc>
          <w:tcPr>
            <w:tcW w:w="2600" w:type="dxa"/>
            <w:tcBorders>
              <w:top w:val="single" w:sz="8" w:space="0" w:color="auto"/>
              <w:left w:val="single" w:sz="8" w:space="0" w:color="auto"/>
              <w:bottom w:val="single" w:sz="8" w:space="0" w:color="auto"/>
              <w:right w:val="single" w:sz="8" w:space="0" w:color="auto"/>
            </w:tcBorders>
          </w:tcPr>
          <w:p w14:paraId="61739B7F"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Climate change mitigation</w:t>
            </w:r>
          </w:p>
        </w:tc>
        <w:tc>
          <w:tcPr>
            <w:tcW w:w="9166" w:type="dxa"/>
            <w:gridSpan w:val="2"/>
            <w:tcBorders>
              <w:top w:val="single" w:sz="8" w:space="0" w:color="auto"/>
              <w:left w:val="single" w:sz="8" w:space="0" w:color="auto"/>
              <w:bottom w:val="single" w:sz="8" w:space="0" w:color="auto"/>
              <w:right w:val="single" w:sz="8" w:space="0" w:color="auto"/>
            </w:tcBorders>
          </w:tcPr>
          <w:p w14:paraId="2B213CAB" w14:textId="77777777" w:rsidR="00030936" w:rsidRPr="007E741C" w:rsidRDefault="00030936" w:rsidP="00E16B3D">
            <w:pPr>
              <w:rPr>
                <w:rFonts w:eastAsia="Calibri" w:cstheme="minorHAnsi"/>
                <w:color w:val="000000" w:themeColor="text1"/>
                <w:sz w:val="18"/>
                <w:szCs w:val="18"/>
              </w:rPr>
            </w:pPr>
            <w:r w:rsidRPr="007E741C">
              <w:rPr>
                <w:rFonts w:cstheme="minorHAnsi"/>
                <w:color w:val="000000" w:themeColor="text1"/>
                <w:sz w:val="18"/>
                <w:szCs w:val="18"/>
              </w:rPr>
              <w:t>Investment will not lead to significant greenhouse gas (GHG) emissions</w:t>
            </w:r>
          </w:p>
        </w:tc>
      </w:tr>
      <w:tr w:rsidR="00030936" w:rsidRPr="007E741C" w14:paraId="0D4AA9DC" w14:textId="77777777" w:rsidTr="00E16B3D">
        <w:tc>
          <w:tcPr>
            <w:tcW w:w="2600" w:type="dxa"/>
            <w:tcBorders>
              <w:top w:val="single" w:sz="8" w:space="0" w:color="auto"/>
              <w:left w:val="single" w:sz="8" w:space="0" w:color="auto"/>
              <w:bottom w:val="single" w:sz="8" w:space="0" w:color="auto"/>
              <w:right w:val="single" w:sz="8" w:space="0" w:color="auto"/>
            </w:tcBorders>
          </w:tcPr>
          <w:p w14:paraId="537B1A1B"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 xml:space="preserve">Climate change adaptation </w:t>
            </w:r>
          </w:p>
          <w:p w14:paraId="34A5601E" w14:textId="77777777" w:rsidR="00030936" w:rsidRPr="007E741C" w:rsidRDefault="00030936" w:rsidP="00E16B3D">
            <w:pPr>
              <w:ind w:left="72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47651E5D" w14:textId="77777777" w:rsidR="00030936" w:rsidRPr="007E741C" w:rsidRDefault="00030936" w:rsidP="00E16B3D">
            <w:pPr>
              <w:rPr>
                <w:rFonts w:eastAsia="Calibri" w:cstheme="minorHAnsi"/>
                <w:color w:val="000000" w:themeColor="text1"/>
                <w:sz w:val="18"/>
                <w:szCs w:val="18"/>
              </w:rPr>
            </w:pPr>
            <w:r w:rsidRPr="007E741C">
              <w:rPr>
                <w:rFonts w:cstheme="minorHAnsi"/>
                <w:color w:val="000000" w:themeColor="text1"/>
                <w:sz w:val="18"/>
                <w:szCs w:val="18"/>
              </w:rPr>
              <w:t>Investment will not lead to an increased adverse impact of the current climate and the expected future climate, on the activity itself or on people, nature or assets</w:t>
            </w:r>
          </w:p>
        </w:tc>
      </w:tr>
      <w:tr w:rsidR="00030936" w:rsidRPr="007E741C" w14:paraId="34C38A1D" w14:textId="77777777" w:rsidTr="00E16B3D">
        <w:tc>
          <w:tcPr>
            <w:tcW w:w="2600" w:type="dxa"/>
            <w:tcBorders>
              <w:top w:val="single" w:sz="8" w:space="0" w:color="auto"/>
              <w:left w:val="single" w:sz="8" w:space="0" w:color="auto"/>
              <w:bottom w:val="single" w:sz="8" w:space="0" w:color="auto"/>
              <w:right w:val="single" w:sz="8" w:space="0" w:color="auto"/>
            </w:tcBorders>
          </w:tcPr>
          <w:p w14:paraId="046308C2"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The sustainable use and protection of water and marine resources</w:t>
            </w:r>
          </w:p>
        </w:tc>
        <w:tc>
          <w:tcPr>
            <w:tcW w:w="9166" w:type="dxa"/>
            <w:gridSpan w:val="2"/>
            <w:tcBorders>
              <w:top w:val="single" w:sz="8" w:space="0" w:color="auto"/>
              <w:left w:val="single" w:sz="8" w:space="0" w:color="auto"/>
              <w:bottom w:val="single" w:sz="8" w:space="0" w:color="auto"/>
              <w:right w:val="single" w:sz="8" w:space="0" w:color="auto"/>
            </w:tcBorders>
          </w:tcPr>
          <w:p w14:paraId="6653B7EA"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detrimental to the good status or the good ecological potential of bodies of water, including surface water and groundwater, or to the good environmental status of marine waters</w:t>
            </w:r>
          </w:p>
        </w:tc>
      </w:tr>
      <w:tr w:rsidR="00030936" w:rsidRPr="007E741C" w14:paraId="11886DFE" w14:textId="77777777" w:rsidTr="00E16B3D">
        <w:tc>
          <w:tcPr>
            <w:tcW w:w="2600" w:type="dxa"/>
            <w:tcBorders>
              <w:top w:val="single" w:sz="8" w:space="0" w:color="auto"/>
              <w:left w:val="single" w:sz="8" w:space="0" w:color="auto"/>
              <w:bottom w:val="single" w:sz="8" w:space="0" w:color="auto"/>
              <w:right w:val="single" w:sz="8" w:space="0" w:color="auto"/>
            </w:tcBorders>
          </w:tcPr>
          <w:p w14:paraId="4C9648E9"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The circular economy, including waste prevention and recycling</w:t>
            </w:r>
          </w:p>
        </w:tc>
        <w:tc>
          <w:tcPr>
            <w:tcW w:w="9166" w:type="dxa"/>
            <w:gridSpan w:val="2"/>
            <w:tcBorders>
              <w:top w:val="single" w:sz="8" w:space="0" w:color="auto"/>
              <w:left w:val="single" w:sz="8" w:space="0" w:color="auto"/>
              <w:bottom w:val="single" w:sz="8" w:space="0" w:color="auto"/>
              <w:right w:val="single" w:sz="8" w:space="0" w:color="auto"/>
            </w:tcBorders>
          </w:tcPr>
          <w:p w14:paraId="3C77EC56"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lead to significant inefficiencies in the use of materials or in the direct or indirect use of natural resources, </w:t>
            </w:r>
          </w:p>
          <w:p w14:paraId="5FB262FA"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Or</w:t>
            </w:r>
          </w:p>
          <w:p w14:paraId="598BF273"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significantly increase the generation, incineration or disposal of waste, </w:t>
            </w:r>
          </w:p>
          <w:p w14:paraId="68E1199D"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Or </w:t>
            </w:r>
          </w:p>
          <w:p w14:paraId="1EA09532"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Investment will not lead to long-term disposal of waste that may cause significant and long-term environmental harm;</w:t>
            </w:r>
          </w:p>
        </w:tc>
      </w:tr>
      <w:tr w:rsidR="00030936" w:rsidRPr="007E741C" w14:paraId="2F6152D0" w14:textId="77777777" w:rsidTr="00E16B3D">
        <w:tc>
          <w:tcPr>
            <w:tcW w:w="2600" w:type="dxa"/>
            <w:tcBorders>
              <w:top w:val="single" w:sz="8" w:space="0" w:color="auto"/>
              <w:left w:val="single" w:sz="8" w:space="0" w:color="auto"/>
              <w:bottom w:val="single" w:sz="8" w:space="0" w:color="auto"/>
              <w:right w:val="single" w:sz="8" w:space="0" w:color="auto"/>
            </w:tcBorders>
          </w:tcPr>
          <w:p w14:paraId="39F0600C"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Pollution prevention and control to air, water or land</w:t>
            </w:r>
          </w:p>
        </w:tc>
        <w:tc>
          <w:tcPr>
            <w:tcW w:w="9166" w:type="dxa"/>
            <w:gridSpan w:val="2"/>
            <w:tcBorders>
              <w:top w:val="single" w:sz="8" w:space="0" w:color="auto"/>
              <w:left w:val="single" w:sz="8" w:space="0" w:color="auto"/>
              <w:bottom w:val="single" w:sz="8" w:space="0" w:color="auto"/>
              <w:right w:val="single" w:sz="8" w:space="0" w:color="auto"/>
            </w:tcBorders>
          </w:tcPr>
          <w:p w14:paraId="55A17DBB"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will not </w:t>
            </w:r>
            <w:r w:rsidRPr="007E741C">
              <w:rPr>
                <w:rFonts w:cstheme="minorHAnsi"/>
                <w:color w:val="000000" w:themeColor="text1"/>
                <w:sz w:val="18"/>
                <w:szCs w:val="18"/>
              </w:rPr>
              <w:t>lead to a significant increase in emissions of pollutants into air, water or land;</w:t>
            </w:r>
          </w:p>
        </w:tc>
      </w:tr>
      <w:tr w:rsidR="00030936" w:rsidRPr="007E741C" w14:paraId="76F91DCA" w14:textId="77777777" w:rsidTr="00E16B3D">
        <w:tc>
          <w:tcPr>
            <w:tcW w:w="2600" w:type="dxa"/>
            <w:tcBorders>
              <w:top w:val="single" w:sz="8" w:space="0" w:color="auto"/>
              <w:left w:val="single" w:sz="8" w:space="0" w:color="auto"/>
              <w:bottom w:val="single" w:sz="8" w:space="0" w:color="auto"/>
              <w:right w:val="single" w:sz="8" w:space="0" w:color="auto"/>
            </w:tcBorders>
          </w:tcPr>
          <w:p w14:paraId="43B2D446" w14:textId="77777777" w:rsidR="00030936" w:rsidRPr="007E741C" w:rsidRDefault="00030936" w:rsidP="00E16B3D">
            <w:pPr>
              <w:numPr>
                <w:ilvl w:val="0"/>
                <w:numId w:val="21"/>
              </w:numPr>
              <w:contextualSpacing/>
              <w:rPr>
                <w:rFonts w:cstheme="minorHAnsi"/>
                <w:color w:val="000000" w:themeColor="text1"/>
                <w:sz w:val="18"/>
                <w:szCs w:val="18"/>
              </w:rPr>
            </w:pPr>
            <w:r w:rsidRPr="007E741C">
              <w:rPr>
                <w:rFonts w:cstheme="minorHAnsi"/>
                <w:color w:val="000000" w:themeColor="text1"/>
                <w:sz w:val="18"/>
                <w:szCs w:val="18"/>
              </w:rPr>
              <w:t>The protection and restoration of biodiversity and ecosystems</w:t>
            </w:r>
          </w:p>
          <w:p w14:paraId="3E864BAF" w14:textId="77777777" w:rsidR="00030936" w:rsidRPr="007E741C" w:rsidRDefault="00030936" w:rsidP="00E16B3D">
            <w:pPr>
              <w:ind w:firstLine="40"/>
              <w:rPr>
                <w:rFonts w:cstheme="minorHAnsi"/>
                <w:color w:val="000000" w:themeColor="text1"/>
                <w:sz w:val="18"/>
                <w:szCs w:val="18"/>
              </w:rPr>
            </w:pPr>
          </w:p>
        </w:tc>
        <w:tc>
          <w:tcPr>
            <w:tcW w:w="9166" w:type="dxa"/>
            <w:gridSpan w:val="2"/>
            <w:tcBorders>
              <w:top w:val="single" w:sz="8" w:space="0" w:color="auto"/>
              <w:left w:val="single" w:sz="8" w:space="0" w:color="auto"/>
              <w:bottom w:val="single" w:sz="8" w:space="0" w:color="auto"/>
              <w:right w:val="single" w:sz="8" w:space="0" w:color="auto"/>
            </w:tcBorders>
          </w:tcPr>
          <w:p w14:paraId="411252A3" w14:textId="77777777" w:rsidR="00030936" w:rsidRPr="007E741C" w:rsidRDefault="00030936" w:rsidP="00E16B3D">
            <w:pPr>
              <w:rPr>
                <w:rFonts w:eastAsia="Calibri" w:cstheme="minorHAnsi"/>
                <w:color w:val="000000" w:themeColor="text1"/>
                <w:sz w:val="18"/>
                <w:szCs w:val="18"/>
              </w:rPr>
            </w:pPr>
            <w:r w:rsidRPr="007E741C">
              <w:rPr>
                <w:rFonts w:eastAsia="Calibri" w:cstheme="minorHAnsi"/>
                <w:color w:val="000000" w:themeColor="text1"/>
                <w:sz w:val="18"/>
                <w:szCs w:val="18"/>
              </w:rPr>
              <w:t xml:space="preserve">Investment </w:t>
            </w:r>
            <w:r w:rsidRPr="007E741C">
              <w:rPr>
                <w:rFonts w:cstheme="minorHAnsi"/>
                <w:color w:val="000000" w:themeColor="text1"/>
                <w:sz w:val="18"/>
                <w:szCs w:val="18"/>
              </w:rPr>
              <w:t>is not significantly detrimental to the good condition and resilience of ecosystems, or detrimental to the conservation status of habitats and species, including those of Union interest.</w:t>
            </w:r>
          </w:p>
        </w:tc>
      </w:tr>
      <w:tr w:rsidR="00030936" w:rsidRPr="007E741C" w14:paraId="5716E1DB" w14:textId="77777777" w:rsidTr="00E16B3D">
        <w:trPr>
          <w:trHeight w:val="550"/>
        </w:trPr>
        <w:tc>
          <w:tcPr>
            <w:tcW w:w="7513" w:type="dxa"/>
            <w:gridSpan w:val="2"/>
            <w:tcBorders>
              <w:top w:val="single" w:sz="8" w:space="0" w:color="auto"/>
              <w:left w:val="single" w:sz="8" w:space="0" w:color="auto"/>
              <w:bottom w:val="single" w:sz="8" w:space="0" w:color="auto"/>
              <w:right w:val="single" w:sz="8" w:space="0" w:color="auto"/>
            </w:tcBorders>
          </w:tcPr>
          <w:p w14:paraId="4DF8C1C6" w14:textId="77777777" w:rsidR="00030936" w:rsidRPr="007E741C" w:rsidRDefault="00030936" w:rsidP="00E16B3D">
            <w:pPr>
              <w:contextualSpacing/>
              <w:rPr>
                <w:rFonts w:eastAsia="Calibri" w:cstheme="minorHAnsi"/>
                <w:b/>
                <w:bCs/>
                <w:color w:val="000000" w:themeColor="text1"/>
                <w:sz w:val="18"/>
                <w:szCs w:val="18"/>
              </w:rPr>
            </w:pPr>
            <w:r w:rsidRPr="007E741C">
              <w:rPr>
                <w:rFonts w:eastAsia="Calibri" w:cstheme="minorHAnsi"/>
                <w:b/>
                <w:bCs/>
                <w:color w:val="000000" w:themeColor="text1"/>
                <w:sz w:val="18"/>
                <w:szCs w:val="18"/>
              </w:rPr>
              <w:t>Declaration:</w:t>
            </w:r>
          </w:p>
          <w:p w14:paraId="5B2E9847" w14:textId="77777777" w:rsidR="00030936" w:rsidRPr="007E741C" w:rsidRDefault="00030936" w:rsidP="00E16B3D">
            <w:pPr>
              <w:contextualSpacing/>
              <w:rPr>
                <w:rFonts w:eastAsia="Calibri" w:cstheme="minorHAnsi"/>
                <w:color w:val="000000" w:themeColor="text1"/>
                <w:sz w:val="18"/>
                <w:szCs w:val="18"/>
              </w:rPr>
            </w:pPr>
            <w:r w:rsidRPr="007E741C">
              <w:rPr>
                <w:rFonts w:eastAsia="Calibri" w:cstheme="minorHAnsi"/>
                <w:color w:val="000000" w:themeColor="text1"/>
                <w:sz w:val="18"/>
                <w:szCs w:val="18"/>
              </w:rPr>
              <w:t>I declare that this project will comply with the above objectives</w:t>
            </w:r>
            <w:r w:rsidRPr="007E741C">
              <w:rPr>
                <w:rFonts w:eastAsia="Calibri" w:cstheme="minorHAnsi"/>
                <w:color w:val="000000" w:themeColor="text1"/>
                <w:sz w:val="18"/>
                <w:szCs w:val="18"/>
              </w:rPr>
              <w:tab/>
            </w:r>
          </w:p>
        </w:tc>
        <w:tc>
          <w:tcPr>
            <w:tcW w:w="4253" w:type="dxa"/>
            <w:tcBorders>
              <w:top w:val="single" w:sz="8" w:space="0" w:color="auto"/>
              <w:left w:val="single" w:sz="8" w:space="0" w:color="auto"/>
              <w:bottom w:val="single" w:sz="8" w:space="0" w:color="auto"/>
              <w:right w:val="single" w:sz="8" w:space="0" w:color="auto"/>
            </w:tcBorders>
          </w:tcPr>
          <w:p w14:paraId="2594C359" w14:textId="77777777" w:rsidR="00030936" w:rsidRPr="007E741C" w:rsidRDefault="00030936" w:rsidP="00E16B3D">
            <w:pPr>
              <w:contextualSpacing/>
              <w:rPr>
                <w:rFonts w:eastAsia="Calibri" w:cstheme="minorHAnsi"/>
                <w:color w:val="000000" w:themeColor="text1"/>
                <w:sz w:val="18"/>
                <w:szCs w:val="18"/>
              </w:rPr>
            </w:pPr>
            <w:r w:rsidRPr="007E741C">
              <w:rPr>
                <w:rFonts w:eastAsia="Calibri" w:cstheme="minorHAnsi"/>
                <w:color w:val="000000" w:themeColor="text1"/>
                <w:sz w:val="18"/>
                <w:szCs w:val="18"/>
              </w:rPr>
              <w:t>Yes/No</w:t>
            </w:r>
          </w:p>
        </w:tc>
      </w:tr>
      <w:tr w:rsidR="00030936" w:rsidRPr="007E741C" w14:paraId="1BEBC156" w14:textId="77777777" w:rsidTr="00E16B3D">
        <w:trPr>
          <w:trHeight w:val="550"/>
        </w:trPr>
        <w:tc>
          <w:tcPr>
            <w:tcW w:w="11766" w:type="dxa"/>
            <w:gridSpan w:val="3"/>
            <w:tcBorders>
              <w:top w:val="single" w:sz="8" w:space="0" w:color="auto"/>
              <w:left w:val="single" w:sz="8" w:space="0" w:color="auto"/>
              <w:bottom w:val="single" w:sz="8" w:space="0" w:color="auto"/>
              <w:right w:val="single" w:sz="8" w:space="0" w:color="auto"/>
            </w:tcBorders>
          </w:tcPr>
          <w:p w14:paraId="23E37510" w14:textId="77777777" w:rsidR="00030936" w:rsidRPr="007E741C" w:rsidRDefault="00030936" w:rsidP="00E16B3D">
            <w:pPr>
              <w:contextualSpacing/>
              <w:rPr>
                <w:rFonts w:cstheme="minorHAnsi"/>
                <w:color w:val="000000" w:themeColor="text1"/>
                <w:sz w:val="18"/>
                <w:szCs w:val="18"/>
              </w:rPr>
            </w:pPr>
            <w:r w:rsidRPr="007E741C">
              <w:rPr>
                <w:rFonts w:cstheme="minorHAnsi"/>
                <w:color w:val="000000" w:themeColor="text1"/>
                <w:sz w:val="18"/>
                <w:szCs w:val="18"/>
              </w:rPr>
              <w:t>Justification - Please provide a short justification to support the declaration above in respect of the project</w:t>
            </w:r>
          </w:p>
          <w:p w14:paraId="680EACDE" w14:textId="77777777" w:rsidR="00030936" w:rsidRPr="007E741C" w:rsidRDefault="00030936" w:rsidP="00E16B3D">
            <w:pPr>
              <w:contextualSpacing/>
              <w:rPr>
                <w:rFonts w:cstheme="minorHAnsi"/>
                <w:color w:val="000000" w:themeColor="text1"/>
                <w:sz w:val="18"/>
                <w:szCs w:val="18"/>
              </w:rPr>
            </w:pPr>
          </w:p>
          <w:p w14:paraId="160ABA7C" w14:textId="77777777" w:rsidR="00030936" w:rsidRPr="007E741C" w:rsidRDefault="00030936" w:rsidP="00E16B3D">
            <w:pPr>
              <w:contextualSpacing/>
              <w:rPr>
                <w:rFonts w:cstheme="minorHAnsi"/>
                <w:color w:val="000000" w:themeColor="text1"/>
                <w:sz w:val="18"/>
                <w:szCs w:val="18"/>
              </w:rPr>
            </w:pPr>
            <w:r w:rsidRPr="007E741C">
              <w:rPr>
                <w:rFonts w:cstheme="minorHAnsi"/>
                <w:i/>
                <w:iCs/>
                <w:color w:val="000000" w:themeColor="text1"/>
                <w:sz w:val="18"/>
                <w:szCs w:val="18"/>
              </w:rPr>
              <w:t>Sample text: The project being supported is for the development of a decarbonisation plan, delivered through consultancy, and will have an insignificant foreseeable impact on any of the six environmental objectives above.</w:t>
            </w:r>
          </w:p>
          <w:p w14:paraId="34A0E7DC" w14:textId="77777777" w:rsidR="00030936" w:rsidRPr="007E741C" w:rsidRDefault="00030936" w:rsidP="00E16B3D">
            <w:pPr>
              <w:contextualSpacing/>
              <w:rPr>
                <w:rFonts w:cstheme="minorHAnsi"/>
                <w:color w:val="000000" w:themeColor="text1"/>
                <w:sz w:val="18"/>
                <w:szCs w:val="18"/>
              </w:rPr>
            </w:pPr>
          </w:p>
        </w:tc>
      </w:tr>
    </w:tbl>
    <w:p w14:paraId="273A377B" w14:textId="4E55946F" w:rsidR="00412E13" w:rsidRPr="00DE78C9" w:rsidRDefault="00E16B3D" w:rsidP="00DE78C9">
      <w:pPr>
        <w:spacing w:after="0"/>
        <w:ind w:left="-850" w:right="-850"/>
      </w:pPr>
      <w:r>
        <w:br w:type="textWrapping" w:clear="all"/>
      </w:r>
    </w:p>
    <w:sectPr w:rsidR="00412E13" w:rsidRPr="00DE78C9" w:rsidSect="009E5614">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CB41D" w14:textId="77777777" w:rsidR="006145E8" w:rsidRDefault="006145E8" w:rsidP="009B64EB">
      <w:pPr>
        <w:spacing w:after="0" w:line="240" w:lineRule="auto"/>
      </w:pPr>
      <w:r>
        <w:separator/>
      </w:r>
    </w:p>
  </w:endnote>
  <w:endnote w:type="continuationSeparator" w:id="0">
    <w:p w14:paraId="09DE543B" w14:textId="77777777" w:rsidR="006145E8" w:rsidRDefault="006145E8" w:rsidP="009B64EB">
      <w:pPr>
        <w:spacing w:after="0" w:line="240" w:lineRule="auto"/>
      </w:pPr>
      <w:r>
        <w:continuationSeparator/>
      </w:r>
    </w:p>
  </w:endnote>
  <w:endnote w:type="continuationNotice" w:id="1">
    <w:p w14:paraId="364918D7" w14:textId="77777777" w:rsidR="006145E8" w:rsidRDefault="006145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83BF1" w14:textId="6E81183B" w:rsidR="009E6E90" w:rsidRDefault="009E6E90" w:rsidP="00247B3B">
    <w:pPr>
      <w:tabs>
        <w:tab w:val="center" w:pos="4550"/>
        <w:tab w:val="left" w:pos="5818"/>
      </w:tabs>
      <w:ind w:right="260"/>
      <w:rPr>
        <w:color w:val="222A35" w:themeColor="text2" w:themeShade="80"/>
        <w:sz w:val="24"/>
        <w:szCs w:val="24"/>
      </w:rPr>
    </w:pPr>
    <w:r>
      <w:rPr>
        <w:color w:val="8496B0" w:themeColor="text2" w:themeTint="99"/>
        <w:spacing w:val="60"/>
        <w:sz w:val="24"/>
        <w:szCs w:val="24"/>
      </w:rPr>
      <w:t xml:space="preserve">GreenStart Assignment Guidelines, </w:t>
    </w:r>
    <w:r w:rsidR="00823641">
      <w:rPr>
        <w:color w:val="8496B0" w:themeColor="text2" w:themeTint="99"/>
        <w:spacing w:val="60"/>
        <w:sz w:val="24"/>
        <w:szCs w:val="24"/>
      </w:rPr>
      <w:t>v</w:t>
    </w:r>
    <w:r w:rsidR="00DE78C9">
      <w:rPr>
        <w:color w:val="8496B0" w:themeColor="text2" w:themeTint="99"/>
        <w:spacing w:val="60"/>
        <w:sz w:val="24"/>
        <w:szCs w:val="24"/>
      </w:rPr>
      <w:t>14</w:t>
    </w:r>
    <w:r w:rsidR="006A599F">
      <w:rPr>
        <w:color w:val="8496B0" w:themeColor="text2" w:themeTint="99"/>
        <w:spacing w:val="60"/>
        <w:sz w:val="24"/>
        <w:szCs w:val="24"/>
      </w:rPr>
      <w:t>.</w:t>
    </w:r>
    <w:r w:rsidR="00DE78C9">
      <w:rPr>
        <w:color w:val="8496B0" w:themeColor="text2" w:themeTint="99"/>
        <w:spacing w:val="60"/>
        <w:sz w:val="24"/>
        <w:szCs w:val="24"/>
      </w:rPr>
      <w:t>10</w:t>
    </w:r>
    <w:r w:rsidR="006A599F">
      <w:rPr>
        <w:color w:val="8496B0" w:themeColor="text2" w:themeTint="99"/>
        <w:spacing w:val="60"/>
        <w:sz w:val="24"/>
        <w:szCs w:val="24"/>
      </w:rPr>
      <w:t>.2</w:t>
    </w:r>
    <w:r w:rsidR="00E94A41">
      <w:rPr>
        <w:color w:val="8496B0" w:themeColor="text2" w:themeTint="99"/>
        <w:spacing w:val="60"/>
        <w:sz w:val="24"/>
        <w:szCs w:val="24"/>
      </w:rPr>
      <w:t>2</w:t>
    </w:r>
    <w:r>
      <w:rPr>
        <w:color w:val="8496B0" w:themeColor="text2" w:themeTint="99"/>
        <w:spacing w:val="60"/>
        <w:sz w:val="24"/>
        <w:szCs w:val="24"/>
      </w:rPr>
      <w:t xml:space="preserve">                                      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1D5614C6" w14:textId="0AB64741" w:rsidR="00544CC1" w:rsidRDefault="00544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0EE2EE" w14:textId="77777777" w:rsidR="006145E8" w:rsidRDefault="006145E8" w:rsidP="009B64EB">
      <w:pPr>
        <w:spacing w:after="0" w:line="240" w:lineRule="auto"/>
      </w:pPr>
      <w:r>
        <w:separator/>
      </w:r>
    </w:p>
  </w:footnote>
  <w:footnote w:type="continuationSeparator" w:id="0">
    <w:p w14:paraId="2C0B21FA" w14:textId="77777777" w:rsidR="006145E8" w:rsidRDefault="006145E8" w:rsidP="009B64EB">
      <w:pPr>
        <w:spacing w:after="0" w:line="240" w:lineRule="auto"/>
      </w:pPr>
      <w:r>
        <w:continuationSeparator/>
      </w:r>
    </w:p>
  </w:footnote>
  <w:footnote w:type="continuationNotice" w:id="1">
    <w:p w14:paraId="5E813F6A" w14:textId="77777777" w:rsidR="006145E8" w:rsidRDefault="006145E8">
      <w:pPr>
        <w:spacing w:after="0" w:line="240" w:lineRule="auto"/>
      </w:pPr>
    </w:p>
  </w:footnote>
  <w:footnote w:id="2">
    <w:p w14:paraId="51854BB9" w14:textId="2566CCA1" w:rsidR="007542AD" w:rsidRPr="007542AD" w:rsidRDefault="007542AD" w:rsidP="00B76A58">
      <w:pPr>
        <w:pStyle w:val="FootnoteText"/>
        <w:ind w:left="-850" w:right="-850"/>
        <w:rPr>
          <w:lang w:val="en-IE"/>
        </w:rPr>
      </w:pPr>
      <w:r>
        <w:rPr>
          <w:rStyle w:val="FootnoteReference"/>
        </w:rPr>
        <w:footnoteRef/>
      </w:r>
      <w:r>
        <w:t xml:space="preserve"> </w:t>
      </w:r>
      <w:r w:rsidRPr="007542AD">
        <w:t>Except projects under this measure in power and/or heat generation, as well as related transmission and distribution infrastructure, using natural gas, that are compliant with the conditions set out in Annex III of the ‘Do no significant harm’ Technical Guidance (2021/C58/01)</w:t>
      </w:r>
      <w:r>
        <w:t>.</w:t>
      </w:r>
    </w:p>
  </w:footnote>
  <w:footnote w:id="3">
    <w:p w14:paraId="3A8E744C" w14:textId="73C4FC53" w:rsidR="007542AD" w:rsidRPr="007542AD" w:rsidRDefault="007542AD" w:rsidP="00B76A58">
      <w:pPr>
        <w:pStyle w:val="FootnoteText"/>
        <w:ind w:left="-850" w:right="-850"/>
        <w:rPr>
          <w:lang w:val="en-IE"/>
        </w:rPr>
      </w:pPr>
      <w:r>
        <w:rPr>
          <w:rStyle w:val="FootnoteReference"/>
        </w:rPr>
        <w:footnoteRef/>
      </w:r>
      <w:r>
        <w:t xml:space="preserve"> </w:t>
      </w:r>
      <w:r w:rsidRPr="00313872">
        <w:rPr>
          <w:rFonts w:eastAsia="Arial MT" w:cstheme="minorHAnsi"/>
          <w:color w:val="000000" w:themeColor="text1"/>
        </w:rPr>
        <w:t>Where the activity supported achieves projected greenhouse gas emissions that are not substantially lower than the relevant benchmarks an explanation of the reasons why this is not possible should be provided. Benchmarks established for free allocation for activities falling within the scope of the Emissions Trading System, as set out in the Commission Implementing Regulation (EU) 2021/447</w:t>
      </w:r>
      <w:r>
        <w:rPr>
          <w:rFonts w:eastAsia="Arial MT" w:cstheme="minorHAnsi"/>
          <w:color w:val="000000" w:themeColor="text1"/>
        </w:rPr>
        <w:t>.</w:t>
      </w:r>
    </w:p>
  </w:footnote>
  <w:footnote w:id="4">
    <w:p w14:paraId="1AB0418D" w14:textId="76CAF8F9" w:rsidR="007542AD" w:rsidRPr="007542AD" w:rsidRDefault="007542AD" w:rsidP="00B76A58">
      <w:pPr>
        <w:pStyle w:val="FootnoteText"/>
        <w:ind w:left="-850" w:right="-850"/>
        <w:rPr>
          <w:lang w:val="en-IE"/>
        </w:rPr>
      </w:pPr>
      <w:r>
        <w:rPr>
          <w:rStyle w:val="FootnoteReference"/>
        </w:rPr>
        <w:footnoteRef/>
      </w:r>
      <w:r>
        <w:t xml:space="preserve"> </w:t>
      </w:r>
      <w:r w:rsidRPr="007542AD">
        <w:t>This exclusion does not apply to actions under this measure in plants exclusively dedicated to treating non-recyclable hazardous waste, and to existing plants, where the actions under this measure are for the purpose of increasing energy efficiency, capturing exhaust gases for storage or use or recovering materials from incineration ashes, provided such actions under this measure do not result in an increase of the plants’ waste processing capacity or in an extension of the lifetime of the plants; for which evidence is provided at plant level.</w:t>
      </w:r>
    </w:p>
  </w:footnote>
  <w:footnote w:id="5">
    <w:p w14:paraId="312DD35B" w14:textId="6710F310" w:rsidR="007542AD" w:rsidRPr="007542AD" w:rsidRDefault="007542AD" w:rsidP="00B76A58">
      <w:pPr>
        <w:pStyle w:val="FootnoteText"/>
        <w:ind w:left="-850" w:right="-850"/>
        <w:rPr>
          <w:lang w:val="en-IE"/>
        </w:rPr>
      </w:pPr>
      <w:r>
        <w:rPr>
          <w:rStyle w:val="FootnoteReference"/>
        </w:rPr>
        <w:footnoteRef/>
      </w:r>
      <w:r>
        <w:t xml:space="preserve"> </w:t>
      </w:r>
      <w:r w:rsidRPr="007542AD">
        <w:t>This exclusion does not apply to actions under this measure in existing mechanical biological treatment plants, where the actions under this measure are for the purpose of increasing energy efficiency or retrofitting to recycling operations of separated waste to compost bio-waste and anaerobic digestion of bio-waste, provided such actions under this measure do not result in an increase of the plants’ waste processing capacity or in an extension of the lifetime of the plants; for which evidence is provided at plant level.</w:t>
      </w:r>
    </w:p>
  </w:footnote>
  <w:footnote w:id="6">
    <w:p w14:paraId="378BF450" w14:textId="63CBC2BE" w:rsidR="00030936" w:rsidRPr="00B76A58" w:rsidRDefault="00030936" w:rsidP="00B76A58">
      <w:pPr>
        <w:pStyle w:val="FootnoteText"/>
        <w:ind w:left="-850" w:right="-850"/>
      </w:pPr>
      <w:r>
        <w:rPr>
          <w:rStyle w:val="FootnoteReference"/>
        </w:rPr>
        <w:footnoteRef/>
      </w:r>
      <w:r>
        <w:t xml:space="preserve"> REGULATION (EU) 2020/852 OF THE EUROPEAN PARLIAMENT AND OF THE COUNCIL of 18 June 2020 on the establishment of a framework to facilitate sustainable investment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23DE"/>
    <w:multiLevelType w:val="hybridMultilevel"/>
    <w:tmpl w:val="79CCEC2E"/>
    <w:lvl w:ilvl="0" w:tplc="5204F05E">
      <w:start w:val="1"/>
      <w:numFmt w:val="bullet"/>
      <w:lvlText w:val="o"/>
      <w:lvlJc w:val="left"/>
      <w:pPr>
        <w:ind w:left="720" w:hanging="360"/>
      </w:pPr>
      <w:rPr>
        <w:rFonts w:ascii="Courier New" w:hAnsi="Courier New"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7B4326"/>
    <w:multiLevelType w:val="hybridMultilevel"/>
    <w:tmpl w:val="80B05714"/>
    <w:lvl w:ilvl="0" w:tplc="18090001">
      <w:start w:val="1"/>
      <w:numFmt w:val="bullet"/>
      <w:lvlText w:val=""/>
      <w:lvlJc w:val="left"/>
      <w:pPr>
        <w:ind w:left="323" w:hanging="360"/>
      </w:pPr>
      <w:rPr>
        <w:rFonts w:ascii="Symbol" w:hAnsi="Symbol" w:hint="default"/>
      </w:rPr>
    </w:lvl>
    <w:lvl w:ilvl="1" w:tplc="18090003" w:tentative="1">
      <w:start w:val="1"/>
      <w:numFmt w:val="bullet"/>
      <w:lvlText w:val="o"/>
      <w:lvlJc w:val="left"/>
      <w:pPr>
        <w:ind w:left="1043" w:hanging="360"/>
      </w:pPr>
      <w:rPr>
        <w:rFonts w:ascii="Courier New" w:hAnsi="Courier New" w:cs="Courier New" w:hint="default"/>
      </w:rPr>
    </w:lvl>
    <w:lvl w:ilvl="2" w:tplc="18090005" w:tentative="1">
      <w:start w:val="1"/>
      <w:numFmt w:val="bullet"/>
      <w:lvlText w:val=""/>
      <w:lvlJc w:val="left"/>
      <w:pPr>
        <w:ind w:left="1763" w:hanging="360"/>
      </w:pPr>
      <w:rPr>
        <w:rFonts w:ascii="Wingdings" w:hAnsi="Wingdings" w:hint="default"/>
      </w:rPr>
    </w:lvl>
    <w:lvl w:ilvl="3" w:tplc="18090001" w:tentative="1">
      <w:start w:val="1"/>
      <w:numFmt w:val="bullet"/>
      <w:lvlText w:val=""/>
      <w:lvlJc w:val="left"/>
      <w:pPr>
        <w:ind w:left="2483" w:hanging="360"/>
      </w:pPr>
      <w:rPr>
        <w:rFonts w:ascii="Symbol" w:hAnsi="Symbol" w:hint="default"/>
      </w:rPr>
    </w:lvl>
    <w:lvl w:ilvl="4" w:tplc="18090003" w:tentative="1">
      <w:start w:val="1"/>
      <w:numFmt w:val="bullet"/>
      <w:lvlText w:val="o"/>
      <w:lvlJc w:val="left"/>
      <w:pPr>
        <w:ind w:left="3203" w:hanging="360"/>
      </w:pPr>
      <w:rPr>
        <w:rFonts w:ascii="Courier New" w:hAnsi="Courier New" w:cs="Courier New" w:hint="default"/>
      </w:rPr>
    </w:lvl>
    <w:lvl w:ilvl="5" w:tplc="18090005" w:tentative="1">
      <w:start w:val="1"/>
      <w:numFmt w:val="bullet"/>
      <w:lvlText w:val=""/>
      <w:lvlJc w:val="left"/>
      <w:pPr>
        <w:ind w:left="3923" w:hanging="360"/>
      </w:pPr>
      <w:rPr>
        <w:rFonts w:ascii="Wingdings" w:hAnsi="Wingdings" w:hint="default"/>
      </w:rPr>
    </w:lvl>
    <w:lvl w:ilvl="6" w:tplc="18090001" w:tentative="1">
      <w:start w:val="1"/>
      <w:numFmt w:val="bullet"/>
      <w:lvlText w:val=""/>
      <w:lvlJc w:val="left"/>
      <w:pPr>
        <w:ind w:left="4643" w:hanging="360"/>
      </w:pPr>
      <w:rPr>
        <w:rFonts w:ascii="Symbol" w:hAnsi="Symbol" w:hint="default"/>
      </w:rPr>
    </w:lvl>
    <w:lvl w:ilvl="7" w:tplc="18090003" w:tentative="1">
      <w:start w:val="1"/>
      <w:numFmt w:val="bullet"/>
      <w:lvlText w:val="o"/>
      <w:lvlJc w:val="left"/>
      <w:pPr>
        <w:ind w:left="5363" w:hanging="360"/>
      </w:pPr>
      <w:rPr>
        <w:rFonts w:ascii="Courier New" w:hAnsi="Courier New" w:cs="Courier New" w:hint="default"/>
      </w:rPr>
    </w:lvl>
    <w:lvl w:ilvl="8" w:tplc="18090005" w:tentative="1">
      <w:start w:val="1"/>
      <w:numFmt w:val="bullet"/>
      <w:lvlText w:val=""/>
      <w:lvlJc w:val="left"/>
      <w:pPr>
        <w:ind w:left="6083" w:hanging="360"/>
      </w:pPr>
      <w:rPr>
        <w:rFonts w:ascii="Wingdings" w:hAnsi="Wingdings" w:hint="default"/>
      </w:rPr>
    </w:lvl>
  </w:abstractNum>
  <w:abstractNum w:abstractNumId="2" w15:restartNumberingAfterBreak="0">
    <w:nsid w:val="0C512A18"/>
    <w:multiLevelType w:val="hybridMultilevel"/>
    <w:tmpl w:val="619867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4E627E"/>
    <w:multiLevelType w:val="hybridMultilevel"/>
    <w:tmpl w:val="3F18087A"/>
    <w:lvl w:ilvl="0" w:tplc="17383716">
      <w:start w:val="5"/>
      <w:numFmt w:val="decimal"/>
      <w:lvlText w:val="%1"/>
      <w:lvlJc w:val="left"/>
      <w:pPr>
        <w:ind w:left="-490" w:hanging="360"/>
      </w:pPr>
      <w:rPr>
        <w:rFonts w:hint="default"/>
      </w:rPr>
    </w:lvl>
    <w:lvl w:ilvl="1" w:tplc="18090019" w:tentative="1">
      <w:start w:val="1"/>
      <w:numFmt w:val="lowerLetter"/>
      <w:lvlText w:val="%2."/>
      <w:lvlJc w:val="left"/>
      <w:pPr>
        <w:ind w:left="230" w:hanging="360"/>
      </w:pPr>
    </w:lvl>
    <w:lvl w:ilvl="2" w:tplc="1809001B" w:tentative="1">
      <w:start w:val="1"/>
      <w:numFmt w:val="lowerRoman"/>
      <w:lvlText w:val="%3."/>
      <w:lvlJc w:val="right"/>
      <w:pPr>
        <w:ind w:left="950" w:hanging="180"/>
      </w:pPr>
    </w:lvl>
    <w:lvl w:ilvl="3" w:tplc="1809000F" w:tentative="1">
      <w:start w:val="1"/>
      <w:numFmt w:val="decimal"/>
      <w:lvlText w:val="%4."/>
      <w:lvlJc w:val="left"/>
      <w:pPr>
        <w:ind w:left="1670" w:hanging="360"/>
      </w:pPr>
    </w:lvl>
    <w:lvl w:ilvl="4" w:tplc="18090019" w:tentative="1">
      <w:start w:val="1"/>
      <w:numFmt w:val="lowerLetter"/>
      <w:lvlText w:val="%5."/>
      <w:lvlJc w:val="left"/>
      <w:pPr>
        <w:ind w:left="2390" w:hanging="360"/>
      </w:pPr>
    </w:lvl>
    <w:lvl w:ilvl="5" w:tplc="1809001B" w:tentative="1">
      <w:start w:val="1"/>
      <w:numFmt w:val="lowerRoman"/>
      <w:lvlText w:val="%6."/>
      <w:lvlJc w:val="right"/>
      <w:pPr>
        <w:ind w:left="3110" w:hanging="180"/>
      </w:pPr>
    </w:lvl>
    <w:lvl w:ilvl="6" w:tplc="1809000F" w:tentative="1">
      <w:start w:val="1"/>
      <w:numFmt w:val="decimal"/>
      <w:lvlText w:val="%7."/>
      <w:lvlJc w:val="left"/>
      <w:pPr>
        <w:ind w:left="3830" w:hanging="360"/>
      </w:pPr>
    </w:lvl>
    <w:lvl w:ilvl="7" w:tplc="18090019" w:tentative="1">
      <w:start w:val="1"/>
      <w:numFmt w:val="lowerLetter"/>
      <w:lvlText w:val="%8."/>
      <w:lvlJc w:val="left"/>
      <w:pPr>
        <w:ind w:left="4550" w:hanging="360"/>
      </w:pPr>
    </w:lvl>
    <w:lvl w:ilvl="8" w:tplc="1809001B" w:tentative="1">
      <w:start w:val="1"/>
      <w:numFmt w:val="lowerRoman"/>
      <w:lvlText w:val="%9."/>
      <w:lvlJc w:val="right"/>
      <w:pPr>
        <w:ind w:left="5270" w:hanging="180"/>
      </w:pPr>
    </w:lvl>
  </w:abstractNum>
  <w:abstractNum w:abstractNumId="4" w15:restartNumberingAfterBreak="0">
    <w:nsid w:val="1B6812AF"/>
    <w:multiLevelType w:val="hybridMultilevel"/>
    <w:tmpl w:val="EE225320"/>
    <w:lvl w:ilvl="0" w:tplc="C7405626">
      <w:start w:val="1"/>
      <w:numFmt w:val="bullet"/>
      <w:lvlText w:val="•"/>
      <w:lvlJc w:val="left"/>
      <w:pPr>
        <w:ind w:left="720" w:hanging="360"/>
      </w:pPr>
      <w:rPr>
        <w:rFonts w:ascii="Arial" w:hAnsi="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DC24B16"/>
    <w:multiLevelType w:val="hybridMultilevel"/>
    <w:tmpl w:val="B0484262"/>
    <w:lvl w:ilvl="0" w:tplc="18090001">
      <w:start w:val="1"/>
      <w:numFmt w:val="bullet"/>
      <w:lvlText w:val=""/>
      <w:lvlJc w:val="left"/>
      <w:pPr>
        <w:ind w:left="-130" w:hanging="360"/>
      </w:pPr>
      <w:rPr>
        <w:rFonts w:ascii="Symbol" w:hAnsi="Symbol"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6" w15:restartNumberingAfterBreak="0">
    <w:nsid w:val="1E0F5630"/>
    <w:multiLevelType w:val="multilevel"/>
    <w:tmpl w:val="E70A16C2"/>
    <w:lvl w:ilvl="0">
      <w:start w:val="6"/>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332A12DF"/>
    <w:multiLevelType w:val="hybridMultilevel"/>
    <w:tmpl w:val="31F84D10"/>
    <w:lvl w:ilvl="0" w:tplc="1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47A7805"/>
    <w:multiLevelType w:val="hybridMultilevel"/>
    <w:tmpl w:val="CB541424"/>
    <w:lvl w:ilvl="0" w:tplc="18090001">
      <w:start w:val="1"/>
      <w:numFmt w:val="bullet"/>
      <w:lvlText w:val=""/>
      <w:lvlJc w:val="left"/>
      <w:pPr>
        <w:ind w:left="230" w:hanging="360"/>
      </w:pPr>
      <w:rPr>
        <w:rFonts w:ascii="Symbol" w:hAnsi="Symbol" w:hint="default"/>
      </w:rPr>
    </w:lvl>
    <w:lvl w:ilvl="1" w:tplc="18090003" w:tentative="1">
      <w:start w:val="1"/>
      <w:numFmt w:val="bullet"/>
      <w:lvlText w:val="o"/>
      <w:lvlJc w:val="left"/>
      <w:pPr>
        <w:ind w:left="950" w:hanging="360"/>
      </w:pPr>
      <w:rPr>
        <w:rFonts w:ascii="Courier New" w:hAnsi="Courier New" w:cs="Courier New" w:hint="default"/>
      </w:rPr>
    </w:lvl>
    <w:lvl w:ilvl="2" w:tplc="18090005" w:tentative="1">
      <w:start w:val="1"/>
      <w:numFmt w:val="bullet"/>
      <w:lvlText w:val=""/>
      <w:lvlJc w:val="left"/>
      <w:pPr>
        <w:ind w:left="1670" w:hanging="360"/>
      </w:pPr>
      <w:rPr>
        <w:rFonts w:ascii="Wingdings" w:hAnsi="Wingdings" w:hint="default"/>
      </w:rPr>
    </w:lvl>
    <w:lvl w:ilvl="3" w:tplc="18090001" w:tentative="1">
      <w:start w:val="1"/>
      <w:numFmt w:val="bullet"/>
      <w:lvlText w:val=""/>
      <w:lvlJc w:val="left"/>
      <w:pPr>
        <w:ind w:left="2390" w:hanging="360"/>
      </w:pPr>
      <w:rPr>
        <w:rFonts w:ascii="Symbol" w:hAnsi="Symbol" w:hint="default"/>
      </w:rPr>
    </w:lvl>
    <w:lvl w:ilvl="4" w:tplc="18090003" w:tentative="1">
      <w:start w:val="1"/>
      <w:numFmt w:val="bullet"/>
      <w:lvlText w:val="o"/>
      <w:lvlJc w:val="left"/>
      <w:pPr>
        <w:ind w:left="3110" w:hanging="360"/>
      </w:pPr>
      <w:rPr>
        <w:rFonts w:ascii="Courier New" w:hAnsi="Courier New" w:cs="Courier New" w:hint="default"/>
      </w:rPr>
    </w:lvl>
    <w:lvl w:ilvl="5" w:tplc="18090005" w:tentative="1">
      <w:start w:val="1"/>
      <w:numFmt w:val="bullet"/>
      <w:lvlText w:val=""/>
      <w:lvlJc w:val="left"/>
      <w:pPr>
        <w:ind w:left="3830" w:hanging="360"/>
      </w:pPr>
      <w:rPr>
        <w:rFonts w:ascii="Wingdings" w:hAnsi="Wingdings" w:hint="default"/>
      </w:rPr>
    </w:lvl>
    <w:lvl w:ilvl="6" w:tplc="18090001" w:tentative="1">
      <w:start w:val="1"/>
      <w:numFmt w:val="bullet"/>
      <w:lvlText w:val=""/>
      <w:lvlJc w:val="left"/>
      <w:pPr>
        <w:ind w:left="4550" w:hanging="360"/>
      </w:pPr>
      <w:rPr>
        <w:rFonts w:ascii="Symbol" w:hAnsi="Symbol" w:hint="default"/>
      </w:rPr>
    </w:lvl>
    <w:lvl w:ilvl="7" w:tplc="18090003" w:tentative="1">
      <w:start w:val="1"/>
      <w:numFmt w:val="bullet"/>
      <w:lvlText w:val="o"/>
      <w:lvlJc w:val="left"/>
      <w:pPr>
        <w:ind w:left="5270" w:hanging="360"/>
      </w:pPr>
      <w:rPr>
        <w:rFonts w:ascii="Courier New" w:hAnsi="Courier New" w:cs="Courier New" w:hint="default"/>
      </w:rPr>
    </w:lvl>
    <w:lvl w:ilvl="8" w:tplc="18090005" w:tentative="1">
      <w:start w:val="1"/>
      <w:numFmt w:val="bullet"/>
      <w:lvlText w:val=""/>
      <w:lvlJc w:val="left"/>
      <w:pPr>
        <w:ind w:left="5990" w:hanging="360"/>
      </w:pPr>
      <w:rPr>
        <w:rFonts w:ascii="Wingdings" w:hAnsi="Wingdings" w:hint="default"/>
      </w:rPr>
    </w:lvl>
  </w:abstractNum>
  <w:abstractNum w:abstractNumId="9" w15:restartNumberingAfterBreak="0">
    <w:nsid w:val="356E06C3"/>
    <w:multiLevelType w:val="hybridMultilevel"/>
    <w:tmpl w:val="1BB08A7A"/>
    <w:lvl w:ilvl="0" w:tplc="C7405626">
      <w:start w:val="1"/>
      <w:numFmt w:val="bullet"/>
      <w:lvlText w:val="•"/>
      <w:lvlJc w:val="left"/>
      <w:pPr>
        <w:ind w:left="323" w:hanging="360"/>
      </w:pPr>
      <w:rPr>
        <w:rFonts w:ascii="Arial" w:hAnsi="Arial" w:hint="default"/>
      </w:rPr>
    </w:lvl>
    <w:lvl w:ilvl="1" w:tplc="18090003" w:tentative="1">
      <w:start w:val="1"/>
      <w:numFmt w:val="bullet"/>
      <w:lvlText w:val="o"/>
      <w:lvlJc w:val="left"/>
      <w:pPr>
        <w:ind w:left="1043" w:hanging="360"/>
      </w:pPr>
      <w:rPr>
        <w:rFonts w:ascii="Courier New" w:hAnsi="Courier New" w:cs="Courier New" w:hint="default"/>
      </w:rPr>
    </w:lvl>
    <w:lvl w:ilvl="2" w:tplc="18090005" w:tentative="1">
      <w:start w:val="1"/>
      <w:numFmt w:val="bullet"/>
      <w:lvlText w:val=""/>
      <w:lvlJc w:val="left"/>
      <w:pPr>
        <w:ind w:left="1763" w:hanging="360"/>
      </w:pPr>
      <w:rPr>
        <w:rFonts w:ascii="Wingdings" w:hAnsi="Wingdings" w:hint="default"/>
      </w:rPr>
    </w:lvl>
    <w:lvl w:ilvl="3" w:tplc="18090001" w:tentative="1">
      <w:start w:val="1"/>
      <w:numFmt w:val="bullet"/>
      <w:lvlText w:val=""/>
      <w:lvlJc w:val="left"/>
      <w:pPr>
        <w:ind w:left="2483" w:hanging="360"/>
      </w:pPr>
      <w:rPr>
        <w:rFonts w:ascii="Symbol" w:hAnsi="Symbol" w:hint="default"/>
      </w:rPr>
    </w:lvl>
    <w:lvl w:ilvl="4" w:tplc="18090003" w:tentative="1">
      <w:start w:val="1"/>
      <w:numFmt w:val="bullet"/>
      <w:lvlText w:val="o"/>
      <w:lvlJc w:val="left"/>
      <w:pPr>
        <w:ind w:left="3203" w:hanging="360"/>
      </w:pPr>
      <w:rPr>
        <w:rFonts w:ascii="Courier New" w:hAnsi="Courier New" w:cs="Courier New" w:hint="default"/>
      </w:rPr>
    </w:lvl>
    <w:lvl w:ilvl="5" w:tplc="18090005" w:tentative="1">
      <w:start w:val="1"/>
      <w:numFmt w:val="bullet"/>
      <w:lvlText w:val=""/>
      <w:lvlJc w:val="left"/>
      <w:pPr>
        <w:ind w:left="3923" w:hanging="360"/>
      </w:pPr>
      <w:rPr>
        <w:rFonts w:ascii="Wingdings" w:hAnsi="Wingdings" w:hint="default"/>
      </w:rPr>
    </w:lvl>
    <w:lvl w:ilvl="6" w:tplc="18090001" w:tentative="1">
      <w:start w:val="1"/>
      <w:numFmt w:val="bullet"/>
      <w:lvlText w:val=""/>
      <w:lvlJc w:val="left"/>
      <w:pPr>
        <w:ind w:left="4643" w:hanging="360"/>
      </w:pPr>
      <w:rPr>
        <w:rFonts w:ascii="Symbol" w:hAnsi="Symbol" w:hint="default"/>
      </w:rPr>
    </w:lvl>
    <w:lvl w:ilvl="7" w:tplc="18090003" w:tentative="1">
      <w:start w:val="1"/>
      <w:numFmt w:val="bullet"/>
      <w:lvlText w:val="o"/>
      <w:lvlJc w:val="left"/>
      <w:pPr>
        <w:ind w:left="5363" w:hanging="360"/>
      </w:pPr>
      <w:rPr>
        <w:rFonts w:ascii="Courier New" w:hAnsi="Courier New" w:cs="Courier New" w:hint="default"/>
      </w:rPr>
    </w:lvl>
    <w:lvl w:ilvl="8" w:tplc="18090005" w:tentative="1">
      <w:start w:val="1"/>
      <w:numFmt w:val="bullet"/>
      <w:lvlText w:val=""/>
      <w:lvlJc w:val="left"/>
      <w:pPr>
        <w:ind w:left="6083" w:hanging="360"/>
      </w:pPr>
      <w:rPr>
        <w:rFonts w:ascii="Wingdings" w:hAnsi="Wingdings" w:hint="default"/>
      </w:rPr>
    </w:lvl>
  </w:abstractNum>
  <w:abstractNum w:abstractNumId="10" w15:restartNumberingAfterBreak="0">
    <w:nsid w:val="3AB02D61"/>
    <w:multiLevelType w:val="hybridMultilevel"/>
    <w:tmpl w:val="460A6D8A"/>
    <w:lvl w:ilvl="0" w:tplc="FFFFFFFF">
      <w:start w:val="1"/>
      <w:numFmt w:val="bullet"/>
      <w:lvlText w:val=""/>
      <w:lvlJc w:val="left"/>
      <w:pPr>
        <w:ind w:left="1800" w:hanging="360"/>
      </w:pPr>
      <w:rPr>
        <w:rFonts w:ascii="Symbol" w:hAnsi="Symbol" w:hint="default"/>
      </w:rPr>
    </w:lvl>
    <w:lvl w:ilvl="1" w:tplc="18090001">
      <w:start w:val="1"/>
      <w:numFmt w:val="bullet"/>
      <w:lvlText w:val=""/>
      <w:lvlJc w:val="left"/>
      <w:pPr>
        <w:ind w:left="2520" w:hanging="360"/>
      </w:pPr>
      <w:rPr>
        <w:rFonts w:ascii="Symbol" w:hAnsi="Symbol"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1" w15:restartNumberingAfterBreak="0">
    <w:nsid w:val="3B7B2739"/>
    <w:multiLevelType w:val="hybridMultilevel"/>
    <w:tmpl w:val="FC5E24E0"/>
    <w:lvl w:ilvl="0" w:tplc="C7405626">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F4D2799"/>
    <w:multiLevelType w:val="hybridMultilevel"/>
    <w:tmpl w:val="F0047462"/>
    <w:lvl w:ilvl="0" w:tplc="CC2EA33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6916E1D"/>
    <w:multiLevelType w:val="hybridMultilevel"/>
    <w:tmpl w:val="3528897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6F039C8"/>
    <w:multiLevelType w:val="hybridMultilevel"/>
    <w:tmpl w:val="C9067814"/>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color w:val="auto"/>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8285D87"/>
    <w:multiLevelType w:val="hybridMultilevel"/>
    <w:tmpl w:val="D48441EA"/>
    <w:lvl w:ilvl="0" w:tplc="C9FA393A">
      <w:numFmt w:val="bullet"/>
      <w:lvlText w:val="-"/>
      <w:lvlJc w:val="left"/>
      <w:pPr>
        <w:ind w:left="-490" w:hanging="360"/>
      </w:pPr>
      <w:rPr>
        <w:rFonts w:ascii="Calibri" w:eastAsiaTheme="minorHAnsi" w:hAnsi="Calibri" w:cs="Calibri" w:hint="default"/>
      </w:rPr>
    </w:lvl>
    <w:lvl w:ilvl="1" w:tplc="18090003" w:tentative="1">
      <w:start w:val="1"/>
      <w:numFmt w:val="bullet"/>
      <w:lvlText w:val="o"/>
      <w:lvlJc w:val="left"/>
      <w:pPr>
        <w:ind w:left="230" w:hanging="360"/>
      </w:pPr>
      <w:rPr>
        <w:rFonts w:ascii="Courier New" w:hAnsi="Courier New" w:cs="Courier New" w:hint="default"/>
      </w:rPr>
    </w:lvl>
    <w:lvl w:ilvl="2" w:tplc="18090005" w:tentative="1">
      <w:start w:val="1"/>
      <w:numFmt w:val="bullet"/>
      <w:lvlText w:val=""/>
      <w:lvlJc w:val="left"/>
      <w:pPr>
        <w:ind w:left="950" w:hanging="360"/>
      </w:pPr>
      <w:rPr>
        <w:rFonts w:ascii="Wingdings" w:hAnsi="Wingdings" w:hint="default"/>
      </w:rPr>
    </w:lvl>
    <w:lvl w:ilvl="3" w:tplc="18090001" w:tentative="1">
      <w:start w:val="1"/>
      <w:numFmt w:val="bullet"/>
      <w:lvlText w:val=""/>
      <w:lvlJc w:val="left"/>
      <w:pPr>
        <w:ind w:left="1670" w:hanging="360"/>
      </w:pPr>
      <w:rPr>
        <w:rFonts w:ascii="Symbol" w:hAnsi="Symbol" w:hint="default"/>
      </w:rPr>
    </w:lvl>
    <w:lvl w:ilvl="4" w:tplc="18090003" w:tentative="1">
      <w:start w:val="1"/>
      <w:numFmt w:val="bullet"/>
      <w:lvlText w:val="o"/>
      <w:lvlJc w:val="left"/>
      <w:pPr>
        <w:ind w:left="2390" w:hanging="360"/>
      </w:pPr>
      <w:rPr>
        <w:rFonts w:ascii="Courier New" w:hAnsi="Courier New" w:cs="Courier New" w:hint="default"/>
      </w:rPr>
    </w:lvl>
    <w:lvl w:ilvl="5" w:tplc="18090005" w:tentative="1">
      <w:start w:val="1"/>
      <w:numFmt w:val="bullet"/>
      <w:lvlText w:val=""/>
      <w:lvlJc w:val="left"/>
      <w:pPr>
        <w:ind w:left="3110" w:hanging="360"/>
      </w:pPr>
      <w:rPr>
        <w:rFonts w:ascii="Wingdings" w:hAnsi="Wingdings" w:hint="default"/>
      </w:rPr>
    </w:lvl>
    <w:lvl w:ilvl="6" w:tplc="18090001" w:tentative="1">
      <w:start w:val="1"/>
      <w:numFmt w:val="bullet"/>
      <w:lvlText w:val=""/>
      <w:lvlJc w:val="left"/>
      <w:pPr>
        <w:ind w:left="3830" w:hanging="360"/>
      </w:pPr>
      <w:rPr>
        <w:rFonts w:ascii="Symbol" w:hAnsi="Symbol" w:hint="default"/>
      </w:rPr>
    </w:lvl>
    <w:lvl w:ilvl="7" w:tplc="18090003" w:tentative="1">
      <w:start w:val="1"/>
      <w:numFmt w:val="bullet"/>
      <w:lvlText w:val="o"/>
      <w:lvlJc w:val="left"/>
      <w:pPr>
        <w:ind w:left="4550" w:hanging="360"/>
      </w:pPr>
      <w:rPr>
        <w:rFonts w:ascii="Courier New" w:hAnsi="Courier New" w:cs="Courier New" w:hint="default"/>
      </w:rPr>
    </w:lvl>
    <w:lvl w:ilvl="8" w:tplc="18090005" w:tentative="1">
      <w:start w:val="1"/>
      <w:numFmt w:val="bullet"/>
      <w:lvlText w:val=""/>
      <w:lvlJc w:val="left"/>
      <w:pPr>
        <w:ind w:left="5270" w:hanging="360"/>
      </w:pPr>
      <w:rPr>
        <w:rFonts w:ascii="Wingdings" w:hAnsi="Wingdings" w:hint="default"/>
      </w:rPr>
    </w:lvl>
  </w:abstractNum>
  <w:abstractNum w:abstractNumId="16" w15:restartNumberingAfterBreak="0">
    <w:nsid w:val="489D7EB1"/>
    <w:multiLevelType w:val="hybridMultilevel"/>
    <w:tmpl w:val="777C501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7" w15:restartNumberingAfterBreak="0">
    <w:nsid w:val="500210B0"/>
    <w:multiLevelType w:val="hybridMultilevel"/>
    <w:tmpl w:val="CCBE449E"/>
    <w:lvl w:ilvl="0" w:tplc="18090001">
      <w:start w:val="1"/>
      <w:numFmt w:val="bullet"/>
      <w:lvlText w:val=""/>
      <w:lvlJc w:val="left"/>
      <w:pPr>
        <w:ind w:left="323" w:hanging="360"/>
      </w:pPr>
      <w:rPr>
        <w:rFonts w:ascii="Symbol" w:hAnsi="Symbol" w:hint="default"/>
      </w:rPr>
    </w:lvl>
    <w:lvl w:ilvl="1" w:tplc="18090003" w:tentative="1">
      <w:start w:val="1"/>
      <w:numFmt w:val="bullet"/>
      <w:lvlText w:val="o"/>
      <w:lvlJc w:val="left"/>
      <w:pPr>
        <w:ind w:left="1043" w:hanging="360"/>
      </w:pPr>
      <w:rPr>
        <w:rFonts w:ascii="Courier New" w:hAnsi="Courier New" w:cs="Courier New" w:hint="default"/>
      </w:rPr>
    </w:lvl>
    <w:lvl w:ilvl="2" w:tplc="18090005" w:tentative="1">
      <w:start w:val="1"/>
      <w:numFmt w:val="bullet"/>
      <w:lvlText w:val=""/>
      <w:lvlJc w:val="left"/>
      <w:pPr>
        <w:ind w:left="1763" w:hanging="360"/>
      </w:pPr>
      <w:rPr>
        <w:rFonts w:ascii="Wingdings" w:hAnsi="Wingdings" w:hint="default"/>
      </w:rPr>
    </w:lvl>
    <w:lvl w:ilvl="3" w:tplc="18090001" w:tentative="1">
      <w:start w:val="1"/>
      <w:numFmt w:val="bullet"/>
      <w:lvlText w:val=""/>
      <w:lvlJc w:val="left"/>
      <w:pPr>
        <w:ind w:left="2483" w:hanging="360"/>
      </w:pPr>
      <w:rPr>
        <w:rFonts w:ascii="Symbol" w:hAnsi="Symbol" w:hint="default"/>
      </w:rPr>
    </w:lvl>
    <w:lvl w:ilvl="4" w:tplc="18090003" w:tentative="1">
      <w:start w:val="1"/>
      <w:numFmt w:val="bullet"/>
      <w:lvlText w:val="o"/>
      <w:lvlJc w:val="left"/>
      <w:pPr>
        <w:ind w:left="3203" w:hanging="360"/>
      </w:pPr>
      <w:rPr>
        <w:rFonts w:ascii="Courier New" w:hAnsi="Courier New" w:cs="Courier New" w:hint="default"/>
      </w:rPr>
    </w:lvl>
    <w:lvl w:ilvl="5" w:tplc="18090005" w:tentative="1">
      <w:start w:val="1"/>
      <w:numFmt w:val="bullet"/>
      <w:lvlText w:val=""/>
      <w:lvlJc w:val="left"/>
      <w:pPr>
        <w:ind w:left="3923" w:hanging="360"/>
      </w:pPr>
      <w:rPr>
        <w:rFonts w:ascii="Wingdings" w:hAnsi="Wingdings" w:hint="default"/>
      </w:rPr>
    </w:lvl>
    <w:lvl w:ilvl="6" w:tplc="18090001" w:tentative="1">
      <w:start w:val="1"/>
      <w:numFmt w:val="bullet"/>
      <w:lvlText w:val=""/>
      <w:lvlJc w:val="left"/>
      <w:pPr>
        <w:ind w:left="4643" w:hanging="360"/>
      </w:pPr>
      <w:rPr>
        <w:rFonts w:ascii="Symbol" w:hAnsi="Symbol" w:hint="default"/>
      </w:rPr>
    </w:lvl>
    <w:lvl w:ilvl="7" w:tplc="18090003" w:tentative="1">
      <w:start w:val="1"/>
      <w:numFmt w:val="bullet"/>
      <w:lvlText w:val="o"/>
      <w:lvlJc w:val="left"/>
      <w:pPr>
        <w:ind w:left="5363" w:hanging="360"/>
      </w:pPr>
      <w:rPr>
        <w:rFonts w:ascii="Courier New" w:hAnsi="Courier New" w:cs="Courier New" w:hint="default"/>
      </w:rPr>
    </w:lvl>
    <w:lvl w:ilvl="8" w:tplc="18090005" w:tentative="1">
      <w:start w:val="1"/>
      <w:numFmt w:val="bullet"/>
      <w:lvlText w:val=""/>
      <w:lvlJc w:val="left"/>
      <w:pPr>
        <w:ind w:left="6083" w:hanging="360"/>
      </w:pPr>
      <w:rPr>
        <w:rFonts w:ascii="Wingdings" w:hAnsi="Wingdings" w:hint="default"/>
      </w:rPr>
    </w:lvl>
  </w:abstractNum>
  <w:abstractNum w:abstractNumId="18" w15:restartNumberingAfterBreak="0">
    <w:nsid w:val="5B410F13"/>
    <w:multiLevelType w:val="hybridMultilevel"/>
    <w:tmpl w:val="33243792"/>
    <w:lvl w:ilvl="0" w:tplc="09463C1A">
      <w:start w:val="1"/>
      <w:numFmt w:val="lowerRoman"/>
      <w:lvlText w:val="(%1)"/>
      <w:lvlJc w:val="left"/>
      <w:pPr>
        <w:ind w:left="-130" w:hanging="720"/>
      </w:pPr>
      <w:rPr>
        <w:rFonts w:asciiTheme="majorHAnsi" w:eastAsiaTheme="majorEastAsia" w:hAnsiTheme="majorHAnsi" w:cstheme="majorBidi" w:hint="default"/>
        <w:color w:val="2F5496" w:themeColor="accent1" w:themeShade="BF"/>
        <w:sz w:val="32"/>
      </w:rPr>
    </w:lvl>
    <w:lvl w:ilvl="1" w:tplc="18090019" w:tentative="1">
      <w:start w:val="1"/>
      <w:numFmt w:val="lowerLetter"/>
      <w:lvlText w:val="%2."/>
      <w:lvlJc w:val="left"/>
      <w:pPr>
        <w:ind w:left="230" w:hanging="360"/>
      </w:pPr>
    </w:lvl>
    <w:lvl w:ilvl="2" w:tplc="1809001B" w:tentative="1">
      <w:start w:val="1"/>
      <w:numFmt w:val="lowerRoman"/>
      <w:lvlText w:val="%3."/>
      <w:lvlJc w:val="right"/>
      <w:pPr>
        <w:ind w:left="950" w:hanging="180"/>
      </w:pPr>
    </w:lvl>
    <w:lvl w:ilvl="3" w:tplc="1809000F" w:tentative="1">
      <w:start w:val="1"/>
      <w:numFmt w:val="decimal"/>
      <w:lvlText w:val="%4."/>
      <w:lvlJc w:val="left"/>
      <w:pPr>
        <w:ind w:left="1670" w:hanging="360"/>
      </w:pPr>
    </w:lvl>
    <w:lvl w:ilvl="4" w:tplc="18090019" w:tentative="1">
      <w:start w:val="1"/>
      <w:numFmt w:val="lowerLetter"/>
      <w:lvlText w:val="%5."/>
      <w:lvlJc w:val="left"/>
      <w:pPr>
        <w:ind w:left="2390" w:hanging="360"/>
      </w:pPr>
    </w:lvl>
    <w:lvl w:ilvl="5" w:tplc="1809001B" w:tentative="1">
      <w:start w:val="1"/>
      <w:numFmt w:val="lowerRoman"/>
      <w:lvlText w:val="%6."/>
      <w:lvlJc w:val="right"/>
      <w:pPr>
        <w:ind w:left="3110" w:hanging="180"/>
      </w:pPr>
    </w:lvl>
    <w:lvl w:ilvl="6" w:tplc="1809000F" w:tentative="1">
      <w:start w:val="1"/>
      <w:numFmt w:val="decimal"/>
      <w:lvlText w:val="%7."/>
      <w:lvlJc w:val="left"/>
      <w:pPr>
        <w:ind w:left="3830" w:hanging="360"/>
      </w:pPr>
    </w:lvl>
    <w:lvl w:ilvl="7" w:tplc="18090019" w:tentative="1">
      <w:start w:val="1"/>
      <w:numFmt w:val="lowerLetter"/>
      <w:lvlText w:val="%8."/>
      <w:lvlJc w:val="left"/>
      <w:pPr>
        <w:ind w:left="4550" w:hanging="360"/>
      </w:pPr>
    </w:lvl>
    <w:lvl w:ilvl="8" w:tplc="1809001B" w:tentative="1">
      <w:start w:val="1"/>
      <w:numFmt w:val="lowerRoman"/>
      <w:lvlText w:val="%9."/>
      <w:lvlJc w:val="right"/>
      <w:pPr>
        <w:ind w:left="5270" w:hanging="180"/>
      </w:pPr>
    </w:lvl>
  </w:abstractNum>
  <w:abstractNum w:abstractNumId="19" w15:restartNumberingAfterBreak="0">
    <w:nsid w:val="63D66688"/>
    <w:multiLevelType w:val="hybridMultilevel"/>
    <w:tmpl w:val="E3D27D38"/>
    <w:lvl w:ilvl="0" w:tplc="ECD40004">
      <w:numFmt w:val="bullet"/>
      <w:lvlText w:val="-"/>
      <w:lvlJc w:val="left"/>
      <w:pPr>
        <w:ind w:left="-490" w:hanging="360"/>
      </w:pPr>
      <w:rPr>
        <w:rFonts w:ascii="Calibri" w:eastAsiaTheme="minorHAnsi" w:hAnsi="Calibri" w:cs="Calibri" w:hint="default"/>
      </w:rPr>
    </w:lvl>
    <w:lvl w:ilvl="1" w:tplc="18090003" w:tentative="1">
      <w:start w:val="1"/>
      <w:numFmt w:val="bullet"/>
      <w:lvlText w:val="o"/>
      <w:lvlJc w:val="left"/>
      <w:pPr>
        <w:ind w:left="230" w:hanging="360"/>
      </w:pPr>
      <w:rPr>
        <w:rFonts w:ascii="Courier New" w:hAnsi="Courier New" w:cs="Courier New" w:hint="default"/>
      </w:rPr>
    </w:lvl>
    <w:lvl w:ilvl="2" w:tplc="18090005" w:tentative="1">
      <w:start w:val="1"/>
      <w:numFmt w:val="bullet"/>
      <w:lvlText w:val=""/>
      <w:lvlJc w:val="left"/>
      <w:pPr>
        <w:ind w:left="950" w:hanging="360"/>
      </w:pPr>
      <w:rPr>
        <w:rFonts w:ascii="Wingdings" w:hAnsi="Wingdings" w:hint="default"/>
      </w:rPr>
    </w:lvl>
    <w:lvl w:ilvl="3" w:tplc="18090001" w:tentative="1">
      <w:start w:val="1"/>
      <w:numFmt w:val="bullet"/>
      <w:lvlText w:val=""/>
      <w:lvlJc w:val="left"/>
      <w:pPr>
        <w:ind w:left="1670" w:hanging="360"/>
      </w:pPr>
      <w:rPr>
        <w:rFonts w:ascii="Symbol" w:hAnsi="Symbol" w:hint="default"/>
      </w:rPr>
    </w:lvl>
    <w:lvl w:ilvl="4" w:tplc="18090003" w:tentative="1">
      <w:start w:val="1"/>
      <w:numFmt w:val="bullet"/>
      <w:lvlText w:val="o"/>
      <w:lvlJc w:val="left"/>
      <w:pPr>
        <w:ind w:left="2390" w:hanging="360"/>
      </w:pPr>
      <w:rPr>
        <w:rFonts w:ascii="Courier New" w:hAnsi="Courier New" w:cs="Courier New" w:hint="default"/>
      </w:rPr>
    </w:lvl>
    <w:lvl w:ilvl="5" w:tplc="18090005" w:tentative="1">
      <w:start w:val="1"/>
      <w:numFmt w:val="bullet"/>
      <w:lvlText w:val=""/>
      <w:lvlJc w:val="left"/>
      <w:pPr>
        <w:ind w:left="3110" w:hanging="360"/>
      </w:pPr>
      <w:rPr>
        <w:rFonts w:ascii="Wingdings" w:hAnsi="Wingdings" w:hint="default"/>
      </w:rPr>
    </w:lvl>
    <w:lvl w:ilvl="6" w:tplc="18090001" w:tentative="1">
      <w:start w:val="1"/>
      <w:numFmt w:val="bullet"/>
      <w:lvlText w:val=""/>
      <w:lvlJc w:val="left"/>
      <w:pPr>
        <w:ind w:left="3830" w:hanging="360"/>
      </w:pPr>
      <w:rPr>
        <w:rFonts w:ascii="Symbol" w:hAnsi="Symbol" w:hint="default"/>
      </w:rPr>
    </w:lvl>
    <w:lvl w:ilvl="7" w:tplc="18090003" w:tentative="1">
      <w:start w:val="1"/>
      <w:numFmt w:val="bullet"/>
      <w:lvlText w:val="o"/>
      <w:lvlJc w:val="left"/>
      <w:pPr>
        <w:ind w:left="4550" w:hanging="360"/>
      </w:pPr>
      <w:rPr>
        <w:rFonts w:ascii="Courier New" w:hAnsi="Courier New" w:cs="Courier New" w:hint="default"/>
      </w:rPr>
    </w:lvl>
    <w:lvl w:ilvl="8" w:tplc="18090005" w:tentative="1">
      <w:start w:val="1"/>
      <w:numFmt w:val="bullet"/>
      <w:lvlText w:val=""/>
      <w:lvlJc w:val="left"/>
      <w:pPr>
        <w:ind w:left="5270" w:hanging="360"/>
      </w:pPr>
      <w:rPr>
        <w:rFonts w:ascii="Wingdings" w:hAnsi="Wingdings" w:hint="default"/>
      </w:rPr>
    </w:lvl>
  </w:abstractNum>
  <w:abstractNum w:abstractNumId="20" w15:restartNumberingAfterBreak="0">
    <w:nsid w:val="669E00FD"/>
    <w:multiLevelType w:val="hybridMultilevel"/>
    <w:tmpl w:val="1EA4EDA4"/>
    <w:lvl w:ilvl="0" w:tplc="18090001">
      <w:start w:val="1"/>
      <w:numFmt w:val="bullet"/>
      <w:lvlText w:val=""/>
      <w:lvlJc w:val="left"/>
      <w:pPr>
        <w:ind w:left="1800" w:hanging="360"/>
      </w:pPr>
      <w:rPr>
        <w:rFonts w:ascii="Symbol" w:hAnsi="Symbol" w:hint="default"/>
      </w:rPr>
    </w:lvl>
    <w:lvl w:ilvl="1" w:tplc="18090003">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21" w15:restartNumberingAfterBreak="0">
    <w:nsid w:val="74623399"/>
    <w:multiLevelType w:val="hybridMultilevel"/>
    <w:tmpl w:val="7CFA028C"/>
    <w:lvl w:ilvl="0" w:tplc="DDB871DC">
      <w:start w:val="6"/>
      <w:numFmt w:val="decimal"/>
      <w:lvlText w:val="%1"/>
      <w:lvlJc w:val="left"/>
      <w:pPr>
        <w:ind w:left="-490" w:hanging="360"/>
      </w:pPr>
      <w:rPr>
        <w:rFonts w:hint="default"/>
      </w:rPr>
    </w:lvl>
    <w:lvl w:ilvl="1" w:tplc="18090019" w:tentative="1">
      <w:start w:val="1"/>
      <w:numFmt w:val="lowerLetter"/>
      <w:lvlText w:val="%2."/>
      <w:lvlJc w:val="left"/>
      <w:pPr>
        <w:ind w:left="230" w:hanging="360"/>
      </w:pPr>
    </w:lvl>
    <w:lvl w:ilvl="2" w:tplc="1809001B" w:tentative="1">
      <w:start w:val="1"/>
      <w:numFmt w:val="lowerRoman"/>
      <w:lvlText w:val="%3."/>
      <w:lvlJc w:val="right"/>
      <w:pPr>
        <w:ind w:left="950" w:hanging="180"/>
      </w:pPr>
    </w:lvl>
    <w:lvl w:ilvl="3" w:tplc="1809000F" w:tentative="1">
      <w:start w:val="1"/>
      <w:numFmt w:val="decimal"/>
      <w:lvlText w:val="%4."/>
      <w:lvlJc w:val="left"/>
      <w:pPr>
        <w:ind w:left="1670" w:hanging="360"/>
      </w:pPr>
    </w:lvl>
    <w:lvl w:ilvl="4" w:tplc="18090019" w:tentative="1">
      <w:start w:val="1"/>
      <w:numFmt w:val="lowerLetter"/>
      <w:lvlText w:val="%5."/>
      <w:lvlJc w:val="left"/>
      <w:pPr>
        <w:ind w:left="2390" w:hanging="360"/>
      </w:pPr>
    </w:lvl>
    <w:lvl w:ilvl="5" w:tplc="1809001B" w:tentative="1">
      <w:start w:val="1"/>
      <w:numFmt w:val="lowerRoman"/>
      <w:lvlText w:val="%6."/>
      <w:lvlJc w:val="right"/>
      <w:pPr>
        <w:ind w:left="3110" w:hanging="180"/>
      </w:pPr>
    </w:lvl>
    <w:lvl w:ilvl="6" w:tplc="1809000F" w:tentative="1">
      <w:start w:val="1"/>
      <w:numFmt w:val="decimal"/>
      <w:lvlText w:val="%7."/>
      <w:lvlJc w:val="left"/>
      <w:pPr>
        <w:ind w:left="3830" w:hanging="360"/>
      </w:pPr>
    </w:lvl>
    <w:lvl w:ilvl="7" w:tplc="18090019" w:tentative="1">
      <w:start w:val="1"/>
      <w:numFmt w:val="lowerLetter"/>
      <w:lvlText w:val="%8."/>
      <w:lvlJc w:val="left"/>
      <w:pPr>
        <w:ind w:left="4550" w:hanging="360"/>
      </w:pPr>
    </w:lvl>
    <w:lvl w:ilvl="8" w:tplc="1809001B" w:tentative="1">
      <w:start w:val="1"/>
      <w:numFmt w:val="lowerRoman"/>
      <w:lvlText w:val="%9."/>
      <w:lvlJc w:val="right"/>
      <w:pPr>
        <w:ind w:left="5270" w:hanging="180"/>
      </w:pPr>
    </w:lvl>
  </w:abstractNum>
  <w:abstractNum w:abstractNumId="22" w15:restartNumberingAfterBreak="0">
    <w:nsid w:val="75714DC1"/>
    <w:multiLevelType w:val="hybridMultilevel"/>
    <w:tmpl w:val="42645A04"/>
    <w:lvl w:ilvl="0" w:tplc="18090001">
      <w:start w:val="1"/>
      <w:numFmt w:val="bullet"/>
      <w:lvlText w:val=""/>
      <w:lvlJc w:val="left"/>
      <w:pPr>
        <w:ind w:left="-130" w:hanging="360"/>
      </w:pPr>
      <w:rPr>
        <w:rFonts w:ascii="Symbol" w:hAnsi="Symbol" w:hint="default"/>
      </w:rPr>
    </w:lvl>
    <w:lvl w:ilvl="1" w:tplc="18090003" w:tentative="1">
      <w:start w:val="1"/>
      <w:numFmt w:val="bullet"/>
      <w:lvlText w:val="o"/>
      <w:lvlJc w:val="left"/>
      <w:pPr>
        <w:ind w:left="590" w:hanging="360"/>
      </w:pPr>
      <w:rPr>
        <w:rFonts w:ascii="Courier New" w:hAnsi="Courier New" w:cs="Courier New" w:hint="default"/>
      </w:rPr>
    </w:lvl>
    <w:lvl w:ilvl="2" w:tplc="18090005" w:tentative="1">
      <w:start w:val="1"/>
      <w:numFmt w:val="bullet"/>
      <w:lvlText w:val=""/>
      <w:lvlJc w:val="left"/>
      <w:pPr>
        <w:ind w:left="1310" w:hanging="360"/>
      </w:pPr>
      <w:rPr>
        <w:rFonts w:ascii="Wingdings" w:hAnsi="Wingdings" w:hint="default"/>
      </w:rPr>
    </w:lvl>
    <w:lvl w:ilvl="3" w:tplc="18090001" w:tentative="1">
      <w:start w:val="1"/>
      <w:numFmt w:val="bullet"/>
      <w:lvlText w:val=""/>
      <w:lvlJc w:val="left"/>
      <w:pPr>
        <w:ind w:left="2030" w:hanging="360"/>
      </w:pPr>
      <w:rPr>
        <w:rFonts w:ascii="Symbol" w:hAnsi="Symbol" w:hint="default"/>
      </w:rPr>
    </w:lvl>
    <w:lvl w:ilvl="4" w:tplc="18090003" w:tentative="1">
      <w:start w:val="1"/>
      <w:numFmt w:val="bullet"/>
      <w:lvlText w:val="o"/>
      <w:lvlJc w:val="left"/>
      <w:pPr>
        <w:ind w:left="2750" w:hanging="360"/>
      </w:pPr>
      <w:rPr>
        <w:rFonts w:ascii="Courier New" w:hAnsi="Courier New" w:cs="Courier New" w:hint="default"/>
      </w:rPr>
    </w:lvl>
    <w:lvl w:ilvl="5" w:tplc="18090005" w:tentative="1">
      <w:start w:val="1"/>
      <w:numFmt w:val="bullet"/>
      <w:lvlText w:val=""/>
      <w:lvlJc w:val="left"/>
      <w:pPr>
        <w:ind w:left="3470" w:hanging="360"/>
      </w:pPr>
      <w:rPr>
        <w:rFonts w:ascii="Wingdings" w:hAnsi="Wingdings" w:hint="default"/>
      </w:rPr>
    </w:lvl>
    <w:lvl w:ilvl="6" w:tplc="18090001" w:tentative="1">
      <w:start w:val="1"/>
      <w:numFmt w:val="bullet"/>
      <w:lvlText w:val=""/>
      <w:lvlJc w:val="left"/>
      <w:pPr>
        <w:ind w:left="4190" w:hanging="360"/>
      </w:pPr>
      <w:rPr>
        <w:rFonts w:ascii="Symbol" w:hAnsi="Symbol" w:hint="default"/>
      </w:rPr>
    </w:lvl>
    <w:lvl w:ilvl="7" w:tplc="18090003" w:tentative="1">
      <w:start w:val="1"/>
      <w:numFmt w:val="bullet"/>
      <w:lvlText w:val="o"/>
      <w:lvlJc w:val="left"/>
      <w:pPr>
        <w:ind w:left="4910" w:hanging="360"/>
      </w:pPr>
      <w:rPr>
        <w:rFonts w:ascii="Courier New" w:hAnsi="Courier New" w:cs="Courier New" w:hint="default"/>
      </w:rPr>
    </w:lvl>
    <w:lvl w:ilvl="8" w:tplc="18090005" w:tentative="1">
      <w:start w:val="1"/>
      <w:numFmt w:val="bullet"/>
      <w:lvlText w:val=""/>
      <w:lvlJc w:val="left"/>
      <w:pPr>
        <w:ind w:left="5630" w:hanging="360"/>
      </w:pPr>
      <w:rPr>
        <w:rFonts w:ascii="Wingdings" w:hAnsi="Wingdings" w:hint="default"/>
      </w:rPr>
    </w:lvl>
  </w:abstractNum>
  <w:abstractNum w:abstractNumId="23" w15:restartNumberingAfterBreak="0">
    <w:nsid w:val="77721B54"/>
    <w:multiLevelType w:val="hybridMultilevel"/>
    <w:tmpl w:val="6232867A"/>
    <w:lvl w:ilvl="0" w:tplc="24B0D066">
      <w:numFmt w:val="bullet"/>
      <w:lvlText w:val="-"/>
      <w:lvlJc w:val="left"/>
      <w:pPr>
        <w:ind w:left="360" w:hanging="360"/>
      </w:pPr>
      <w:rPr>
        <w:rFonts w:ascii="Calibri" w:eastAsiaTheme="minorHAnsi" w:hAnsi="Calibri" w:cs="Calibri"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4" w15:restartNumberingAfterBreak="0">
    <w:nsid w:val="7C825167"/>
    <w:multiLevelType w:val="hybridMultilevel"/>
    <w:tmpl w:val="3398BACE"/>
    <w:lvl w:ilvl="0" w:tplc="18090001">
      <w:start w:val="1"/>
      <w:numFmt w:val="bullet"/>
      <w:lvlText w:val=""/>
      <w:lvlJc w:val="left"/>
      <w:pPr>
        <w:ind w:left="720" w:hanging="360"/>
      </w:pPr>
      <w:rPr>
        <w:rFonts w:ascii="Symbol" w:hAnsi="Symbol" w:hint="default"/>
      </w:rPr>
    </w:lvl>
    <w:lvl w:ilvl="1" w:tplc="9618A60E">
      <w:start w:val="1"/>
      <w:numFmt w:val="bullet"/>
      <w:lvlText w:val="o"/>
      <w:lvlJc w:val="left"/>
      <w:pPr>
        <w:ind w:left="1440" w:hanging="360"/>
      </w:pPr>
      <w:rPr>
        <w:rFonts w:ascii="Courier New" w:hAnsi="Courier New" w:hint="default"/>
        <w:u w:color="4472C4" w:themeColor="accent1"/>
      </w:rPr>
    </w:lvl>
    <w:lvl w:ilvl="2" w:tplc="299C8BA6">
      <w:numFmt w:val="bullet"/>
      <w:lvlText w:val="-"/>
      <w:lvlJc w:val="left"/>
      <w:pPr>
        <w:ind w:left="2160" w:hanging="360"/>
      </w:pPr>
      <w:rPr>
        <w:rFonts w:ascii="Calibri" w:eastAsiaTheme="minorHAnsi" w:hAnsi="Calibri" w:cs="Calibri"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7D1B53E6"/>
    <w:multiLevelType w:val="hybridMultilevel"/>
    <w:tmpl w:val="B7384EB6"/>
    <w:lvl w:ilvl="0" w:tplc="11C618D2">
      <w:start w:val="5"/>
      <w:numFmt w:val="bullet"/>
      <w:lvlText w:val="-"/>
      <w:lvlJc w:val="left"/>
      <w:pPr>
        <w:ind w:left="720" w:hanging="360"/>
      </w:pPr>
      <w:rPr>
        <w:rFonts w:ascii="Calibri" w:eastAsiaTheme="minorHAnsi" w:hAnsi="Calibri" w:cs="Calibri" w:hint="default"/>
      </w:rPr>
    </w:lvl>
    <w:lvl w:ilvl="1" w:tplc="11C618D2">
      <w:start w:val="5"/>
      <w:numFmt w:val="bullet"/>
      <w:lvlText w:val="-"/>
      <w:lvlJc w:val="left"/>
      <w:pPr>
        <w:ind w:left="1440" w:hanging="36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3"/>
  </w:num>
  <w:num w:numId="2">
    <w:abstractNumId w:val="16"/>
  </w:num>
  <w:num w:numId="3">
    <w:abstractNumId w:val="14"/>
  </w:num>
  <w:num w:numId="4">
    <w:abstractNumId w:val="2"/>
  </w:num>
  <w:num w:numId="5">
    <w:abstractNumId w:val="25"/>
  </w:num>
  <w:num w:numId="6">
    <w:abstractNumId w:val="0"/>
  </w:num>
  <w:num w:numId="7">
    <w:abstractNumId w:val="1"/>
  </w:num>
  <w:num w:numId="8">
    <w:abstractNumId w:val="17"/>
  </w:num>
  <w:num w:numId="9">
    <w:abstractNumId w:val="9"/>
  </w:num>
  <w:num w:numId="10">
    <w:abstractNumId w:val="12"/>
  </w:num>
  <w:num w:numId="11">
    <w:abstractNumId w:val="18"/>
  </w:num>
  <w:num w:numId="12">
    <w:abstractNumId w:val="24"/>
  </w:num>
  <w:num w:numId="13">
    <w:abstractNumId w:val="20"/>
  </w:num>
  <w:num w:numId="14">
    <w:abstractNumId w:val="10"/>
  </w:num>
  <w:num w:numId="15">
    <w:abstractNumId w:val="4"/>
  </w:num>
  <w:num w:numId="16">
    <w:abstractNumId w:val="11"/>
  </w:num>
  <w:num w:numId="17">
    <w:abstractNumId w:val="7"/>
  </w:num>
  <w:num w:numId="18">
    <w:abstractNumId w:val="19"/>
  </w:num>
  <w:num w:numId="19">
    <w:abstractNumId w:val="15"/>
  </w:num>
  <w:num w:numId="20">
    <w:abstractNumId w:val="3"/>
  </w:num>
  <w:num w:numId="21">
    <w:abstractNumId w:val="13"/>
  </w:num>
  <w:num w:numId="22">
    <w:abstractNumId w:val="21"/>
  </w:num>
  <w:num w:numId="23">
    <w:abstractNumId w:val="8"/>
  </w:num>
  <w:num w:numId="24">
    <w:abstractNumId w:val="5"/>
  </w:num>
  <w:num w:numId="25">
    <w:abstractNumId w:val="22"/>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4EB"/>
    <w:rsid w:val="00001CFB"/>
    <w:rsid w:val="00003476"/>
    <w:rsid w:val="0000603B"/>
    <w:rsid w:val="00010692"/>
    <w:rsid w:val="0001103A"/>
    <w:rsid w:val="00012CE3"/>
    <w:rsid w:val="00014E11"/>
    <w:rsid w:val="00015B11"/>
    <w:rsid w:val="00015C77"/>
    <w:rsid w:val="00016E42"/>
    <w:rsid w:val="00020145"/>
    <w:rsid w:val="00020B76"/>
    <w:rsid w:val="000211EC"/>
    <w:rsid w:val="0002379F"/>
    <w:rsid w:val="0002397E"/>
    <w:rsid w:val="0002728B"/>
    <w:rsid w:val="00030936"/>
    <w:rsid w:val="00040A52"/>
    <w:rsid w:val="00041452"/>
    <w:rsid w:val="0005330E"/>
    <w:rsid w:val="00055762"/>
    <w:rsid w:val="00056C9A"/>
    <w:rsid w:val="00057398"/>
    <w:rsid w:val="00060253"/>
    <w:rsid w:val="000661A3"/>
    <w:rsid w:val="00067EA0"/>
    <w:rsid w:val="000718C0"/>
    <w:rsid w:val="00075854"/>
    <w:rsid w:val="00083782"/>
    <w:rsid w:val="00084312"/>
    <w:rsid w:val="000862A9"/>
    <w:rsid w:val="00087F1A"/>
    <w:rsid w:val="00091B9D"/>
    <w:rsid w:val="00096A94"/>
    <w:rsid w:val="0009737C"/>
    <w:rsid w:val="000A00DC"/>
    <w:rsid w:val="000A1783"/>
    <w:rsid w:val="000A29C5"/>
    <w:rsid w:val="000A5412"/>
    <w:rsid w:val="000A6D8B"/>
    <w:rsid w:val="000B19B5"/>
    <w:rsid w:val="000D04BD"/>
    <w:rsid w:val="000D3B24"/>
    <w:rsid w:val="000D4499"/>
    <w:rsid w:val="000D7E6B"/>
    <w:rsid w:val="000E116F"/>
    <w:rsid w:val="00103DFF"/>
    <w:rsid w:val="00104642"/>
    <w:rsid w:val="001050A1"/>
    <w:rsid w:val="0010767D"/>
    <w:rsid w:val="001106C6"/>
    <w:rsid w:val="00113335"/>
    <w:rsid w:val="00114716"/>
    <w:rsid w:val="00121404"/>
    <w:rsid w:val="00122CFB"/>
    <w:rsid w:val="00127DD8"/>
    <w:rsid w:val="0013015F"/>
    <w:rsid w:val="00131375"/>
    <w:rsid w:val="001326C5"/>
    <w:rsid w:val="001370DD"/>
    <w:rsid w:val="00140D63"/>
    <w:rsid w:val="00141A75"/>
    <w:rsid w:val="001444A2"/>
    <w:rsid w:val="001449CF"/>
    <w:rsid w:val="00144CAE"/>
    <w:rsid w:val="001502E5"/>
    <w:rsid w:val="00151733"/>
    <w:rsid w:val="00152D5A"/>
    <w:rsid w:val="00161565"/>
    <w:rsid w:val="00164A12"/>
    <w:rsid w:val="00166B45"/>
    <w:rsid w:val="00171176"/>
    <w:rsid w:val="00171D85"/>
    <w:rsid w:val="00173226"/>
    <w:rsid w:val="00174EA3"/>
    <w:rsid w:val="001768D3"/>
    <w:rsid w:val="00176AA8"/>
    <w:rsid w:val="00176ADA"/>
    <w:rsid w:val="00177A85"/>
    <w:rsid w:val="00177E68"/>
    <w:rsid w:val="00186973"/>
    <w:rsid w:val="00187676"/>
    <w:rsid w:val="00193CB9"/>
    <w:rsid w:val="00196A25"/>
    <w:rsid w:val="001A1F99"/>
    <w:rsid w:val="001A251D"/>
    <w:rsid w:val="001A6D1B"/>
    <w:rsid w:val="001B133A"/>
    <w:rsid w:val="001B161B"/>
    <w:rsid w:val="001B16DB"/>
    <w:rsid w:val="001B23A9"/>
    <w:rsid w:val="001B3214"/>
    <w:rsid w:val="001B681A"/>
    <w:rsid w:val="001B6F87"/>
    <w:rsid w:val="001C0BA6"/>
    <w:rsid w:val="001C0C62"/>
    <w:rsid w:val="001C3484"/>
    <w:rsid w:val="001C52D1"/>
    <w:rsid w:val="001C68BC"/>
    <w:rsid w:val="001C79F2"/>
    <w:rsid w:val="001D32F0"/>
    <w:rsid w:val="001D6876"/>
    <w:rsid w:val="001D7501"/>
    <w:rsid w:val="001E4133"/>
    <w:rsid w:val="001E6315"/>
    <w:rsid w:val="001E70B0"/>
    <w:rsid w:val="001F265C"/>
    <w:rsid w:val="001F3310"/>
    <w:rsid w:val="001F4FD8"/>
    <w:rsid w:val="001F64A2"/>
    <w:rsid w:val="001F79D6"/>
    <w:rsid w:val="001F7FA8"/>
    <w:rsid w:val="00200417"/>
    <w:rsid w:val="002005CC"/>
    <w:rsid w:val="00202BBF"/>
    <w:rsid w:val="00204396"/>
    <w:rsid w:val="00211828"/>
    <w:rsid w:val="00213BD6"/>
    <w:rsid w:val="00214F90"/>
    <w:rsid w:val="002178AD"/>
    <w:rsid w:val="0022169F"/>
    <w:rsid w:val="00221DE0"/>
    <w:rsid w:val="002230E7"/>
    <w:rsid w:val="00223384"/>
    <w:rsid w:val="00226001"/>
    <w:rsid w:val="00226A3C"/>
    <w:rsid w:val="00233304"/>
    <w:rsid w:val="00233777"/>
    <w:rsid w:val="0023480E"/>
    <w:rsid w:val="0023550F"/>
    <w:rsid w:val="002358F4"/>
    <w:rsid w:val="002411D7"/>
    <w:rsid w:val="00243612"/>
    <w:rsid w:val="00244D4E"/>
    <w:rsid w:val="00246D93"/>
    <w:rsid w:val="00247B3B"/>
    <w:rsid w:val="0025132D"/>
    <w:rsid w:val="00255E1A"/>
    <w:rsid w:val="00257105"/>
    <w:rsid w:val="00261161"/>
    <w:rsid w:val="00264D5B"/>
    <w:rsid w:val="002670E2"/>
    <w:rsid w:val="00271E65"/>
    <w:rsid w:val="002754CA"/>
    <w:rsid w:val="00276A5B"/>
    <w:rsid w:val="0027763C"/>
    <w:rsid w:val="00281BC1"/>
    <w:rsid w:val="00286589"/>
    <w:rsid w:val="0029208E"/>
    <w:rsid w:val="0029438D"/>
    <w:rsid w:val="00295810"/>
    <w:rsid w:val="00296E38"/>
    <w:rsid w:val="002A112C"/>
    <w:rsid w:val="002A2308"/>
    <w:rsid w:val="002A6EC0"/>
    <w:rsid w:val="002B10E1"/>
    <w:rsid w:val="002B36CF"/>
    <w:rsid w:val="002B3BC8"/>
    <w:rsid w:val="002B77D5"/>
    <w:rsid w:val="002C042E"/>
    <w:rsid w:val="002C601B"/>
    <w:rsid w:val="002D13E9"/>
    <w:rsid w:val="002D1F24"/>
    <w:rsid w:val="002D2011"/>
    <w:rsid w:val="002D256F"/>
    <w:rsid w:val="002D28EB"/>
    <w:rsid w:val="002D38EF"/>
    <w:rsid w:val="002D4853"/>
    <w:rsid w:val="002D6CDF"/>
    <w:rsid w:val="002E16F9"/>
    <w:rsid w:val="002E3D30"/>
    <w:rsid w:val="002E6A4D"/>
    <w:rsid w:val="002F0E29"/>
    <w:rsid w:val="002F2597"/>
    <w:rsid w:val="002F3C87"/>
    <w:rsid w:val="002F7788"/>
    <w:rsid w:val="00300A3F"/>
    <w:rsid w:val="00302446"/>
    <w:rsid w:val="00306FF4"/>
    <w:rsid w:val="00311282"/>
    <w:rsid w:val="00311E0A"/>
    <w:rsid w:val="00312ABB"/>
    <w:rsid w:val="00313872"/>
    <w:rsid w:val="003161D8"/>
    <w:rsid w:val="00317753"/>
    <w:rsid w:val="0032031E"/>
    <w:rsid w:val="003245F9"/>
    <w:rsid w:val="003356AF"/>
    <w:rsid w:val="00336AE6"/>
    <w:rsid w:val="003373DF"/>
    <w:rsid w:val="0034322C"/>
    <w:rsid w:val="003451BF"/>
    <w:rsid w:val="00346418"/>
    <w:rsid w:val="003466B1"/>
    <w:rsid w:val="00347A95"/>
    <w:rsid w:val="00350C8B"/>
    <w:rsid w:val="00351E5D"/>
    <w:rsid w:val="00352088"/>
    <w:rsid w:val="00357E8F"/>
    <w:rsid w:val="00361261"/>
    <w:rsid w:val="00361545"/>
    <w:rsid w:val="00361D48"/>
    <w:rsid w:val="003627FE"/>
    <w:rsid w:val="00375229"/>
    <w:rsid w:val="0037576C"/>
    <w:rsid w:val="00376C24"/>
    <w:rsid w:val="00377821"/>
    <w:rsid w:val="00384CA3"/>
    <w:rsid w:val="00385940"/>
    <w:rsid w:val="00390441"/>
    <w:rsid w:val="003909EE"/>
    <w:rsid w:val="003946E0"/>
    <w:rsid w:val="00394994"/>
    <w:rsid w:val="00394CAA"/>
    <w:rsid w:val="00396C6D"/>
    <w:rsid w:val="00396D0A"/>
    <w:rsid w:val="003A0D7F"/>
    <w:rsid w:val="003A3721"/>
    <w:rsid w:val="003A7267"/>
    <w:rsid w:val="003A72C5"/>
    <w:rsid w:val="003A7D28"/>
    <w:rsid w:val="003B225F"/>
    <w:rsid w:val="003B2675"/>
    <w:rsid w:val="003B3076"/>
    <w:rsid w:val="003B31B2"/>
    <w:rsid w:val="003B65FE"/>
    <w:rsid w:val="003C4029"/>
    <w:rsid w:val="003C56C3"/>
    <w:rsid w:val="003C5C10"/>
    <w:rsid w:val="003C6026"/>
    <w:rsid w:val="003D23EF"/>
    <w:rsid w:val="003D27C5"/>
    <w:rsid w:val="003D6D69"/>
    <w:rsid w:val="003E053C"/>
    <w:rsid w:val="003E1207"/>
    <w:rsid w:val="003E216E"/>
    <w:rsid w:val="003E35BB"/>
    <w:rsid w:val="003E4824"/>
    <w:rsid w:val="003E48D2"/>
    <w:rsid w:val="003F140D"/>
    <w:rsid w:val="003F39AB"/>
    <w:rsid w:val="00402B9F"/>
    <w:rsid w:val="0040332B"/>
    <w:rsid w:val="00403E01"/>
    <w:rsid w:val="00405CD8"/>
    <w:rsid w:val="00407AD0"/>
    <w:rsid w:val="00412E13"/>
    <w:rsid w:val="00413065"/>
    <w:rsid w:val="00415574"/>
    <w:rsid w:val="0041620B"/>
    <w:rsid w:val="004206D5"/>
    <w:rsid w:val="004214DE"/>
    <w:rsid w:val="0042627F"/>
    <w:rsid w:val="0043008E"/>
    <w:rsid w:val="00431C37"/>
    <w:rsid w:val="004334FA"/>
    <w:rsid w:val="00433D45"/>
    <w:rsid w:val="0043764C"/>
    <w:rsid w:val="004403BA"/>
    <w:rsid w:val="00440E16"/>
    <w:rsid w:val="00443EE2"/>
    <w:rsid w:val="0044694C"/>
    <w:rsid w:val="004519E3"/>
    <w:rsid w:val="004531AC"/>
    <w:rsid w:val="00453359"/>
    <w:rsid w:val="00457F11"/>
    <w:rsid w:val="004612C9"/>
    <w:rsid w:val="00463D54"/>
    <w:rsid w:val="004644ED"/>
    <w:rsid w:val="00470317"/>
    <w:rsid w:val="00477396"/>
    <w:rsid w:val="00477A56"/>
    <w:rsid w:val="00477DD1"/>
    <w:rsid w:val="00484E2F"/>
    <w:rsid w:val="00490197"/>
    <w:rsid w:val="00493A92"/>
    <w:rsid w:val="00496865"/>
    <w:rsid w:val="00497ED4"/>
    <w:rsid w:val="004A060C"/>
    <w:rsid w:val="004A1A7F"/>
    <w:rsid w:val="004A2908"/>
    <w:rsid w:val="004A47AA"/>
    <w:rsid w:val="004A5F97"/>
    <w:rsid w:val="004B7AD7"/>
    <w:rsid w:val="004C0502"/>
    <w:rsid w:val="004C1ADF"/>
    <w:rsid w:val="004C3AA0"/>
    <w:rsid w:val="004C690A"/>
    <w:rsid w:val="004C750C"/>
    <w:rsid w:val="004C76BC"/>
    <w:rsid w:val="004D06B3"/>
    <w:rsid w:val="004D0DCE"/>
    <w:rsid w:val="004D12D5"/>
    <w:rsid w:val="004D1BB6"/>
    <w:rsid w:val="004D2091"/>
    <w:rsid w:val="004D62FE"/>
    <w:rsid w:val="004D7201"/>
    <w:rsid w:val="004D7ABA"/>
    <w:rsid w:val="004E12E7"/>
    <w:rsid w:val="004E4E1A"/>
    <w:rsid w:val="004F107A"/>
    <w:rsid w:val="004F4E55"/>
    <w:rsid w:val="004F55C6"/>
    <w:rsid w:val="005009A9"/>
    <w:rsid w:val="0050211B"/>
    <w:rsid w:val="00502AF0"/>
    <w:rsid w:val="005033DE"/>
    <w:rsid w:val="00511609"/>
    <w:rsid w:val="0051565B"/>
    <w:rsid w:val="005163D8"/>
    <w:rsid w:val="00516CDE"/>
    <w:rsid w:val="005238C2"/>
    <w:rsid w:val="0052514F"/>
    <w:rsid w:val="005265E6"/>
    <w:rsid w:val="00526959"/>
    <w:rsid w:val="00527BC9"/>
    <w:rsid w:val="00530708"/>
    <w:rsid w:val="00531DE6"/>
    <w:rsid w:val="005341D9"/>
    <w:rsid w:val="00535FF7"/>
    <w:rsid w:val="005374E2"/>
    <w:rsid w:val="00544CC1"/>
    <w:rsid w:val="005476AE"/>
    <w:rsid w:val="005525AA"/>
    <w:rsid w:val="00552D04"/>
    <w:rsid w:val="00560292"/>
    <w:rsid w:val="005651BD"/>
    <w:rsid w:val="005701FD"/>
    <w:rsid w:val="00570F51"/>
    <w:rsid w:val="00571B7E"/>
    <w:rsid w:val="00572FDC"/>
    <w:rsid w:val="00575820"/>
    <w:rsid w:val="00583A47"/>
    <w:rsid w:val="005844CC"/>
    <w:rsid w:val="00590324"/>
    <w:rsid w:val="00590B99"/>
    <w:rsid w:val="00594D1F"/>
    <w:rsid w:val="005963A2"/>
    <w:rsid w:val="005972A0"/>
    <w:rsid w:val="005A2291"/>
    <w:rsid w:val="005B02A6"/>
    <w:rsid w:val="005B14D4"/>
    <w:rsid w:val="005B1B07"/>
    <w:rsid w:val="005B48E9"/>
    <w:rsid w:val="005C047B"/>
    <w:rsid w:val="005C16AA"/>
    <w:rsid w:val="005C4530"/>
    <w:rsid w:val="005C695F"/>
    <w:rsid w:val="005C7903"/>
    <w:rsid w:val="005D19FB"/>
    <w:rsid w:val="005D1D8C"/>
    <w:rsid w:val="005D2406"/>
    <w:rsid w:val="005D3505"/>
    <w:rsid w:val="005D3866"/>
    <w:rsid w:val="005D74C6"/>
    <w:rsid w:val="005E390B"/>
    <w:rsid w:val="005E3C2B"/>
    <w:rsid w:val="005E49CF"/>
    <w:rsid w:val="005E7911"/>
    <w:rsid w:val="005F22BE"/>
    <w:rsid w:val="005F2C8A"/>
    <w:rsid w:val="005F53E9"/>
    <w:rsid w:val="005F7F22"/>
    <w:rsid w:val="006059FC"/>
    <w:rsid w:val="006077C9"/>
    <w:rsid w:val="006131CE"/>
    <w:rsid w:val="00613536"/>
    <w:rsid w:val="006145E8"/>
    <w:rsid w:val="00620434"/>
    <w:rsid w:val="00620DBA"/>
    <w:rsid w:val="00621BF4"/>
    <w:rsid w:val="00623431"/>
    <w:rsid w:val="00624629"/>
    <w:rsid w:val="00625D4D"/>
    <w:rsid w:val="0062621D"/>
    <w:rsid w:val="006270E4"/>
    <w:rsid w:val="00627547"/>
    <w:rsid w:val="00631E04"/>
    <w:rsid w:val="00633A92"/>
    <w:rsid w:val="00633C7A"/>
    <w:rsid w:val="006343C4"/>
    <w:rsid w:val="006373D3"/>
    <w:rsid w:val="0064101A"/>
    <w:rsid w:val="00652FA4"/>
    <w:rsid w:val="006567EF"/>
    <w:rsid w:val="0065681F"/>
    <w:rsid w:val="00656C63"/>
    <w:rsid w:val="006628A0"/>
    <w:rsid w:val="006648D1"/>
    <w:rsid w:val="006730C1"/>
    <w:rsid w:val="00673DE2"/>
    <w:rsid w:val="00673FEE"/>
    <w:rsid w:val="0068231C"/>
    <w:rsid w:val="0068438D"/>
    <w:rsid w:val="00684D6A"/>
    <w:rsid w:val="0068658E"/>
    <w:rsid w:val="00687A9B"/>
    <w:rsid w:val="00690463"/>
    <w:rsid w:val="00691928"/>
    <w:rsid w:val="00692432"/>
    <w:rsid w:val="006942E2"/>
    <w:rsid w:val="00696140"/>
    <w:rsid w:val="00696969"/>
    <w:rsid w:val="006A4C27"/>
    <w:rsid w:val="006A50AB"/>
    <w:rsid w:val="006A599F"/>
    <w:rsid w:val="006B1500"/>
    <w:rsid w:val="006B17B4"/>
    <w:rsid w:val="006B198E"/>
    <w:rsid w:val="006B1F00"/>
    <w:rsid w:val="006B6143"/>
    <w:rsid w:val="006B63AE"/>
    <w:rsid w:val="006B6FB9"/>
    <w:rsid w:val="006B791C"/>
    <w:rsid w:val="006C2145"/>
    <w:rsid w:val="006C2265"/>
    <w:rsid w:val="006C6028"/>
    <w:rsid w:val="006C716D"/>
    <w:rsid w:val="006C7FB4"/>
    <w:rsid w:val="006D0B2B"/>
    <w:rsid w:val="006D4283"/>
    <w:rsid w:val="006D4CBD"/>
    <w:rsid w:val="006D53C2"/>
    <w:rsid w:val="006D6600"/>
    <w:rsid w:val="006D6D8A"/>
    <w:rsid w:val="006E0513"/>
    <w:rsid w:val="006E4FB4"/>
    <w:rsid w:val="006E54B4"/>
    <w:rsid w:val="006E72DF"/>
    <w:rsid w:val="006E78EE"/>
    <w:rsid w:val="006F02CC"/>
    <w:rsid w:val="006F6A27"/>
    <w:rsid w:val="007032F1"/>
    <w:rsid w:val="007065B5"/>
    <w:rsid w:val="007067B1"/>
    <w:rsid w:val="00711B1B"/>
    <w:rsid w:val="0071448C"/>
    <w:rsid w:val="00720821"/>
    <w:rsid w:val="00721E8D"/>
    <w:rsid w:val="00722D50"/>
    <w:rsid w:val="00725428"/>
    <w:rsid w:val="00725828"/>
    <w:rsid w:val="00727BC9"/>
    <w:rsid w:val="0073045F"/>
    <w:rsid w:val="00732399"/>
    <w:rsid w:val="00733C9C"/>
    <w:rsid w:val="0073619E"/>
    <w:rsid w:val="00742448"/>
    <w:rsid w:val="00744CC4"/>
    <w:rsid w:val="00746AF1"/>
    <w:rsid w:val="00751152"/>
    <w:rsid w:val="00754139"/>
    <w:rsid w:val="007542AD"/>
    <w:rsid w:val="00757AA2"/>
    <w:rsid w:val="00765711"/>
    <w:rsid w:val="00765E1D"/>
    <w:rsid w:val="007707B9"/>
    <w:rsid w:val="007764B3"/>
    <w:rsid w:val="007813AE"/>
    <w:rsid w:val="0078685D"/>
    <w:rsid w:val="007870C6"/>
    <w:rsid w:val="00790BCD"/>
    <w:rsid w:val="007913E7"/>
    <w:rsid w:val="00797BD3"/>
    <w:rsid w:val="007A1A17"/>
    <w:rsid w:val="007A2A5D"/>
    <w:rsid w:val="007A4044"/>
    <w:rsid w:val="007A44FC"/>
    <w:rsid w:val="007A5010"/>
    <w:rsid w:val="007A5D5E"/>
    <w:rsid w:val="007A6121"/>
    <w:rsid w:val="007B18B0"/>
    <w:rsid w:val="007B2305"/>
    <w:rsid w:val="007B435C"/>
    <w:rsid w:val="007B47C4"/>
    <w:rsid w:val="007B51A9"/>
    <w:rsid w:val="007C6E08"/>
    <w:rsid w:val="007D0F03"/>
    <w:rsid w:val="007D51C9"/>
    <w:rsid w:val="007D5C05"/>
    <w:rsid w:val="007E33DB"/>
    <w:rsid w:val="007E3FB4"/>
    <w:rsid w:val="007E661D"/>
    <w:rsid w:val="007E6D54"/>
    <w:rsid w:val="007E7806"/>
    <w:rsid w:val="007E7D73"/>
    <w:rsid w:val="007F094A"/>
    <w:rsid w:val="007F0BD7"/>
    <w:rsid w:val="007F30AF"/>
    <w:rsid w:val="007F5D3F"/>
    <w:rsid w:val="0080120A"/>
    <w:rsid w:val="00814DA1"/>
    <w:rsid w:val="008151C6"/>
    <w:rsid w:val="00815A0F"/>
    <w:rsid w:val="00817AE5"/>
    <w:rsid w:val="00820925"/>
    <w:rsid w:val="00823641"/>
    <w:rsid w:val="00826517"/>
    <w:rsid w:val="00830B9A"/>
    <w:rsid w:val="008316F4"/>
    <w:rsid w:val="00832A94"/>
    <w:rsid w:val="00832CCA"/>
    <w:rsid w:val="00834D0E"/>
    <w:rsid w:val="00835DE7"/>
    <w:rsid w:val="00840B49"/>
    <w:rsid w:val="0084642D"/>
    <w:rsid w:val="00847D7C"/>
    <w:rsid w:val="00853B1F"/>
    <w:rsid w:val="0085400C"/>
    <w:rsid w:val="00854605"/>
    <w:rsid w:val="0085464A"/>
    <w:rsid w:val="00855903"/>
    <w:rsid w:val="00855B7A"/>
    <w:rsid w:val="00856623"/>
    <w:rsid w:val="00857712"/>
    <w:rsid w:val="00860BA2"/>
    <w:rsid w:val="008642B5"/>
    <w:rsid w:val="0087209D"/>
    <w:rsid w:val="00875BE8"/>
    <w:rsid w:val="00876720"/>
    <w:rsid w:val="00876917"/>
    <w:rsid w:val="0087717F"/>
    <w:rsid w:val="00881BEE"/>
    <w:rsid w:val="00886096"/>
    <w:rsid w:val="008922B0"/>
    <w:rsid w:val="008A066D"/>
    <w:rsid w:val="008A13C3"/>
    <w:rsid w:val="008A14D3"/>
    <w:rsid w:val="008A1BF6"/>
    <w:rsid w:val="008C004F"/>
    <w:rsid w:val="008C1DD3"/>
    <w:rsid w:val="008C2E1F"/>
    <w:rsid w:val="008C3488"/>
    <w:rsid w:val="008C514E"/>
    <w:rsid w:val="008C56EB"/>
    <w:rsid w:val="008D2294"/>
    <w:rsid w:val="008D345D"/>
    <w:rsid w:val="008E198C"/>
    <w:rsid w:val="008E7717"/>
    <w:rsid w:val="008F21F2"/>
    <w:rsid w:val="008F375C"/>
    <w:rsid w:val="008F7321"/>
    <w:rsid w:val="00903265"/>
    <w:rsid w:val="0090385A"/>
    <w:rsid w:val="00905577"/>
    <w:rsid w:val="00905756"/>
    <w:rsid w:val="00906E81"/>
    <w:rsid w:val="00907BA0"/>
    <w:rsid w:val="009141E7"/>
    <w:rsid w:val="00915A92"/>
    <w:rsid w:val="00917898"/>
    <w:rsid w:val="009240C1"/>
    <w:rsid w:val="009253B3"/>
    <w:rsid w:val="00930E91"/>
    <w:rsid w:val="00933447"/>
    <w:rsid w:val="009345DB"/>
    <w:rsid w:val="009355E4"/>
    <w:rsid w:val="009378D7"/>
    <w:rsid w:val="00945A3C"/>
    <w:rsid w:val="00947B8B"/>
    <w:rsid w:val="009524E9"/>
    <w:rsid w:val="00954541"/>
    <w:rsid w:val="009545C9"/>
    <w:rsid w:val="00954CA3"/>
    <w:rsid w:val="009550D4"/>
    <w:rsid w:val="009607E0"/>
    <w:rsid w:val="00961ED3"/>
    <w:rsid w:val="00962A34"/>
    <w:rsid w:val="00965D8F"/>
    <w:rsid w:val="0096641B"/>
    <w:rsid w:val="00970D72"/>
    <w:rsid w:val="009733B1"/>
    <w:rsid w:val="009737C5"/>
    <w:rsid w:val="009751A9"/>
    <w:rsid w:val="00975390"/>
    <w:rsid w:val="00981129"/>
    <w:rsid w:val="00984821"/>
    <w:rsid w:val="009851AB"/>
    <w:rsid w:val="00986500"/>
    <w:rsid w:val="009865CA"/>
    <w:rsid w:val="00991241"/>
    <w:rsid w:val="0099451A"/>
    <w:rsid w:val="00995B42"/>
    <w:rsid w:val="00995B86"/>
    <w:rsid w:val="0099648E"/>
    <w:rsid w:val="00996835"/>
    <w:rsid w:val="009A3FB9"/>
    <w:rsid w:val="009A5800"/>
    <w:rsid w:val="009B10C9"/>
    <w:rsid w:val="009B1E66"/>
    <w:rsid w:val="009B24A8"/>
    <w:rsid w:val="009B64EB"/>
    <w:rsid w:val="009B7122"/>
    <w:rsid w:val="009C4207"/>
    <w:rsid w:val="009C5FF0"/>
    <w:rsid w:val="009C64F0"/>
    <w:rsid w:val="009D4BCC"/>
    <w:rsid w:val="009D5694"/>
    <w:rsid w:val="009E28E9"/>
    <w:rsid w:val="009E5614"/>
    <w:rsid w:val="009E6E90"/>
    <w:rsid w:val="009F1E30"/>
    <w:rsid w:val="009F1EE8"/>
    <w:rsid w:val="00A03273"/>
    <w:rsid w:val="00A0744E"/>
    <w:rsid w:val="00A1265C"/>
    <w:rsid w:val="00A16323"/>
    <w:rsid w:val="00A163CD"/>
    <w:rsid w:val="00A17684"/>
    <w:rsid w:val="00A23042"/>
    <w:rsid w:val="00A24F3D"/>
    <w:rsid w:val="00A2660D"/>
    <w:rsid w:val="00A30AC3"/>
    <w:rsid w:val="00A34567"/>
    <w:rsid w:val="00A364D1"/>
    <w:rsid w:val="00A4073C"/>
    <w:rsid w:val="00A42A24"/>
    <w:rsid w:val="00A5053C"/>
    <w:rsid w:val="00A5076A"/>
    <w:rsid w:val="00A563BC"/>
    <w:rsid w:val="00A56F69"/>
    <w:rsid w:val="00A66BC1"/>
    <w:rsid w:val="00A67B7F"/>
    <w:rsid w:val="00A70CD7"/>
    <w:rsid w:val="00A71D9D"/>
    <w:rsid w:val="00A72447"/>
    <w:rsid w:val="00A7718D"/>
    <w:rsid w:val="00A81458"/>
    <w:rsid w:val="00A81497"/>
    <w:rsid w:val="00A82201"/>
    <w:rsid w:val="00A828E8"/>
    <w:rsid w:val="00A848B2"/>
    <w:rsid w:val="00A87A3B"/>
    <w:rsid w:val="00AA0210"/>
    <w:rsid w:val="00AA25E2"/>
    <w:rsid w:val="00AA3888"/>
    <w:rsid w:val="00AA4125"/>
    <w:rsid w:val="00AA4AD2"/>
    <w:rsid w:val="00AA6086"/>
    <w:rsid w:val="00AB15D0"/>
    <w:rsid w:val="00AB5940"/>
    <w:rsid w:val="00AC089F"/>
    <w:rsid w:val="00AC0F4E"/>
    <w:rsid w:val="00AC53B5"/>
    <w:rsid w:val="00AC6F96"/>
    <w:rsid w:val="00AD04A7"/>
    <w:rsid w:val="00AD1C27"/>
    <w:rsid w:val="00AD3F4C"/>
    <w:rsid w:val="00AD61BB"/>
    <w:rsid w:val="00AE339D"/>
    <w:rsid w:val="00AE690A"/>
    <w:rsid w:val="00AF2ABE"/>
    <w:rsid w:val="00B0036A"/>
    <w:rsid w:val="00B02E0B"/>
    <w:rsid w:val="00B15C98"/>
    <w:rsid w:val="00B15E97"/>
    <w:rsid w:val="00B1687B"/>
    <w:rsid w:val="00B175BA"/>
    <w:rsid w:val="00B1779E"/>
    <w:rsid w:val="00B239A2"/>
    <w:rsid w:val="00B25715"/>
    <w:rsid w:val="00B330E5"/>
    <w:rsid w:val="00B33A69"/>
    <w:rsid w:val="00B358CE"/>
    <w:rsid w:val="00B404A3"/>
    <w:rsid w:val="00B40ED6"/>
    <w:rsid w:val="00B45A62"/>
    <w:rsid w:val="00B46446"/>
    <w:rsid w:val="00B46953"/>
    <w:rsid w:val="00B46E93"/>
    <w:rsid w:val="00B5372E"/>
    <w:rsid w:val="00B55845"/>
    <w:rsid w:val="00B55E4E"/>
    <w:rsid w:val="00B6031C"/>
    <w:rsid w:val="00B6099E"/>
    <w:rsid w:val="00B615AF"/>
    <w:rsid w:val="00B61DF8"/>
    <w:rsid w:val="00B63A08"/>
    <w:rsid w:val="00B63A18"/>
    <w:rsid w:val="00B64CE4"/>
    <w:rsid w:val="00B650CF"/>
    <w:rsid w:val="00B65347"/>
    <w:rsid w:val="00B65DA6"/>
    <w:rsid w:val="00B718F6"/>
    <w:rsid w:val="00B71CC9"/>
    <w:rsid w:val="00B75999"/>
    <w:rsid w:val="00B76A58"/>
    <w:rsid w:val="00B86E53"/>
    <w:rsid w:val="00B87D72"/>
    <w:rsid w:val="00B931BF"/>
    <w:rsid w:val="00B93305"/>
    <w:rsid w:val="00B93312"/>
    <w:rsid w:val="00B93E11"/>
    <w:rsid w:val="00BA01DD"/>
    <w:rsid w:val="00BA20EA"/>
    <w:rsid w:val="00BA4FE3"/>
    <w:rsid w:val="00BA6E3D"/>
    <w:rsid w:val="00BA7D5D"/>
    <w:rsid w:val="00BB41E4"/>
    <w:rsid w:val="00BB444B"/>
    <w:rsid w:val="00BB6E76"/>
    <w:rsid w:val="00BC38AC"/>
    <w:rsid w:val="00BC581C"/>
    <w:rsid w:val="00BD3336"/>
    <w:rsid w:val="00BD59F5"/>
    <w:rsid w:val="00BD6B00"/>
    <w:rsid w:val="00BD6C71"/>
    <w:rsid w:val="00BD6FA7"/>
    <w:rsid w:val="00BD75BE"/>
    <w:rsid w:val="00BD7BC5"/>
    <w:rsid w:val="00BE0D6D"/>
    <w:rsid w:val="00BE1525"/>
    <w:rsid w:val="00BE6432"/>
    <w:rsid w:val="00BE66A8"/>
    <w:rsid w:val="00BF3051"/>
    <w:rsid w:val="00BF32D7"/>
    <w:rsid w:val="00BF3BDA"/>
    <w:rsid w:val="00BF5512"/>
    <w:rsid w:val="00BF63EB"/>
    <w:rsid w:val="00BF6F5A"/>
    <w:rsid w:val="00BF7BA8"/>
    <w:rsid w:val="00C026BA"/>
    <w:rsid w:val="00C0475A"/>
    <w:rsid w:val="00C05501"/>
    <w:rsid w:val="00C062E9"/>
    <w:rsid w:val="00C079D9"/>
    <w:rsid w:val="00C15EA7"/>
    <w:rsid w:val="00C17BBE"/>
    <w:rsid w:val="00C206F8"/>
    <w:rsid w:val="00C20EA4"/>
    <w:rsid w:val="00C23E56"/>
    <w:rsid w:val="00C24DB6"/>
    <w:rsid w:val="00C27043"/>
    <w:rsid w:val="00C31CB0"/>
    <w:rsid w:val="00C34B8A"/>
    <w:rsid w:val="00C35FEC"/>
    <w:rsid w:val="00C36D82"/>
    <w:rsid w:val="00C371B2"/>
    <w:rsid w:val="00C41247"/>
    <w:rsid w:val="00C45CC9"/>
    <w:rsid w:val="00C45ED9"/>
    <w:rsid w:val="00C512F7"/>
    <w:rsid w:val="00C55D00"/>
    <w:rsid w:val="00C5752B"/>
    <w:rsid w:val="00C57BAA"/>
    <w:rsid w:val="00C57D23"/>
    <w:rsid w:val="00C61E73"/>
    <w:rsid w:val="00C62629"/>
    <w:rsid w:val="00C62844"/>
    <w:rsid w:val="00C63CEC"/>
    <w:rsid w:val="00C642E4"/>
    <w:rsid w:val="00C65FE4"/>
    <w:rsid w:val="00C7414B"/>
    <w:rsid w:val="00C74CAD"/>
    <w:rsid w:val="00C74FEC"/>
    <w:rsid w:val="00C82079"/>
    <w:rsid w:val="00C84520"/>
    <w:rsid w:val="00C878D7"/>
    <w:rsid w:val="00C90FD8"/>
    <w:rsid w:val="00C927B3"/>
    <w:rsid w:val="00C9283F"/>
    <w:rsid w:val="00C93599"/>
    <w:rsid w:val="00C96825"/>
    <w:rsid w:val="00CA15CD"/>
    <w:rsid w:val="00CA2013"/>
    <w:rsid w:val="00CA4370"/>
    <w:rsid w:val="00CA62E2"/>
    <w:rsid w:val="00CA733D"/>
    <w:rsid w:val="00CA7A14"/>
    <w:rsid w:val="00CB0FAA"/>
    <w:rsid w:val="00CB0FB3"/>
    <w:rsid w:val="00CB11CC"/>
    <w:rsid w:val="00CB70B3"/>
    <w:rsid w:val="00CC0FD2"/>
    <w:rsid w:val="00CC5A32"/>
    <w:rsid w:val="00CD0394"/>
    <w:rsid w:val="00CD19FF"/>
    <w:rsid w:val="00CD3BA6"/>
    <w:rsid w:val="00CD4DCA"/>
    <w:rsid w:val="00CD5190"/>
    <w:rsid w:val="00CD5E66"/>
    <w:rsid w:val="00CD6470"/>
    <w:rsid w:val="00CD790F"/>
    <w:rsid w:val="00CE1717"/>
    <w:rsid w:val="00CE3E27"/>
    <w:rsid w:val="00CE4C2F"/>
    <w:rsid w:val="00CE55CE"/>
    <w:rsid w:val="00CF22E9"/>
    <w:rsid w:val="00CF2EAB"/>
    <w:rsid w:val="00CF3F1A"/>
    <w:rsid w:val="00CF753B"/>
    <w:rsid w:val="00CF7861"/>
    <w:rsid w:val="00CF7CF1"/>
    <w:rsid w:val="00D013A5"/>
    <w:rsid w:val="00D03B98"/>
    <w:rsid w:val="00D03FAB"/>
    <w:rsid w:val="00D0597F"/>
    <w:rsid w:val="00D05B18"/>
    <w:rsid w:val="00D10B57"/>
    <w:rsid w:val="00D13060"/>
    <w:rsid w:val="00D14378"/>
    <w:rsid w:val="00D15BFB"/>
    <w:rsid w:val="00D16609"/>
    <w:rsid w:val="00D20929"/>
    <w:rsid w:val="00D21375"/>
    <w:rsid w:val="00D24388"/>
    <w:rsid w:val="00D25B47"/>
    <w:rsid w:val="00D267E5"/>
    <w:rsid w:val="00D31125"/>
    <w:rsid w:val="00D3136A"/>
    <w:rsid w:val="00D32CCE"/>
    <w:rsid w:val="00D336F4"/>
    <w:rsid w:val="00D3641B"/>
    <w:rsid w:val="00D3754E"/>
    <w:rsid w:val="00D3762E"/>
    <w:rsid w:val="00D43987"/>
    <w:rsid w:val="00D47559"/>
    <w:rsid w:val="00D52227"/>
    <w:rsid w:val="00D641CF"/>
    <w:rsid w:val="00D70051"/>
    <w:rsid w:val="00D77EE2"/>
    <w:rsid w:val="00D800CD"/>
    <w:rsid w:val="00D8032A"/>
    <w:rsid w:val="00D858E2"/>
    <w:rsid w:val="00D919B0"/>
    <w:rsid w:val="00D92D89"/>
    <w:rsid w:val="00D94C36"/>
    <w:rsid w:val="00D97217"/>
    <w:rsid w:val="00DA0420"/>
    <w:rsid w:val="00DA3A50"/>
    <w:rsid w:val="00DA49AF"/>
    <w:rsid w:val="00DA621A"/>
    <w:rsid w:val="00DB2FEF"/>
    <w:rsid w:val="00DB37F8"/>
    <w:rsid w:val="00DB5C00"/>
    <w:rsid w:val="00DC1169"/>
    <w:rsid w:val="00DC117C"/>
    <w:rsid w:val="00DC1D28"/>
    <w:rsid w:val="00DC49F9"/>
    <w:rsid w:val="00DC600C"/>
    <w:rsid w:val="00DC6E02"/>
    <w:rsid w:val="00DC6F73"/>
    <w:rsid w:val="00DC7129"/>
    <w:rsid w:val="00DC7CC4"/>
    <w:rsid w:val="00DC7D7C"/>
    <w:rsid w:val="00DD0F20"/>
    <w:rsid w:val="00DD2F01"/>
    <w:rsid w:val="00DD731F"/>
    <w:rsid w:val="00DE24D9"/>
    <w:rsid w:val="00DE606B"/>
    <w:rsid w:val="00DE6C86"/>
    <w:rsid w:val="00DE78C9"/>
    <w:rsid w:val="00DF3BF1"/>
    <w:rsid w:val="00DF46BA"/>
    <w:rsid w:val="00E01528"/>
    <w:rsid w:val="00E0251D"/>
    <w:rsid w:val="00E03179"/>
    <w:rsid w:val="00E039A3"/>
    <w:rsid w:val="00E061F6"/>
    <w:rsid w:val="00E11A55"/>
    <w:rsid w:val="00E15211"/>
    <w:rsid w:val="00E16B3D"/>
    <w:rsid w:val="00E22CA9"/>
    <w:rsid w:val="00E22CEC"/>
    <w:rsid w:val="00E25808"/>
    <w:rsid w:val="00E315B6"/>
    <w:rsid w:val="00E33CEA"/>
    <w:rsid w:val="00E3483D"/>
    <w:rsid w:val="00E41B18"/>
    <w:rsid w:val="00E41C3F"/>
    <w:rsid w:val="00E43526"/>
    <w:rsid w:val="00E511B8"/>
    <w:rsid w:val="00E54C77"/>
    <w:rsid w:val="00E55525"/>
    <w:rsid w:val="00E64CF5"/>
    <w:rsid w:val="00E650A2"/>
    <w:rsid w:val="00E67332"/>
    <w:rsid w:val="00E73C17"/>
    <w:rsid w:val="00E74F87"/>
    <w:rsid w:val="00E7609A"/>
    <w:rsid w:val="00E80538"/>
    <w:rsid w:val="00E94A41"/>
    <w:rsid w:val="00E94D5A"/>
    <w:rsid w:val="00E94E1B"/>
    <w:rsid w:val="00E95439"/>
    <w:rsid w:val="00E96CFC"/>
    <w:rsid w:val="00E97933"/>
    <w:rsid w:val="00E97E44"/>
    <w:rsid w:val="00EA0A5F"/>
    <w:rsid w:val="00EA2F50"/>
    <w:rsid w:val="00EB0CD2"/>
    <w:rsid w:val="00EB0F8F"/>
    <w:rsid w:val="00EB4244"/>
    <w:rsid w:val="00EB446C"/>
    <w:rsid w:val="00EB491D"/>
    <w:rsid w:val="00EB4A97"/>
    <w:rsid w:val="00EB50AB"/>
    <w:rsid w:val="00EB74E7"/>
    <w:rsid w:val="00EC2DF3"/>
    <w:rsid w:val="00EC3C9F"/>
    <w:rsid w:val="00EC5FFB"/>
    <w:rsid w:val="00ED4136"/>
    <w:rsid w:val="00ED47BD"/>
    <w:rsid w:val="00ED7EA2"/>
    <w:rsid w:val="00EE1D1E"/>
    <w:rsid w:val="00EE3920"/>
    <w:rsid w:val="00EF575A"/>
    <w:rsid w:val="00EF7761"/>
    <w:rsid w:val="00EF7AD9"/>
    <w:rsid w:val="00F0119B"/>
    <w:rsid w:val="00F03DCC"/>
    <w:rsid w:val="00F048D5"/>
    <w:rsid w:val="00F05AAB"/>
    <w:rsid w:val="00F10103"/>
    <w:rsid w:val="00F21AD8"/>
    <w:rsid w:val="00F22C21"/>
    <w:rsid w:val="00F259F6"/>
    <w:rsid w:val="00F303AB"/>
    <w:rsid w:val="00F30DEB"/>
    <w:rsid w:val="00F31211"/>
    <w:rsid w:val="00F3148A"/>
    <w:rsid w:val="00F31D63"/>
    <w:rsid w:val="00F3368C"/>
    <w:rsid w:val="00F35471"/>
    <w:rsid w:val="00F37E5F"/>
    <w:rsid w:val="00F475A9"/>
    <w:rsid w:val="00F52370"/>
    <w:rsid w:val="00F53D2E"/>
    <w:rsid w:val="00F606BF"/>
    <w:rsid w:val="00F6296C"/>
    <w:rsid w:val="00F6326D"/>
    <w:rsid w:val="00F6413C"/>
    <w:rsid w:val="00F644F3"/>
    <w:rsid w:val="00F65586"/>
    <w:rsid w:val="00F67AF9"/>
    <w:rsid w:val="00F70430"/>
    <w:rsid w:val="00F7144F"/>
    <w:rsid w:val="00F73FCB"/>
    <w:rsid w:val="00F74AFA"/>
    <w:rsid w:val="00F76316"/>
    <w:rsid w:val="00F80722"/>
    <w:rsid w:val="00F80EB6"/>
    <w:rsid w:val="00F83012"/>
    <w:rsid w:val="00F8308C"/>
    <w:rsid w:val="00F847DE"/>
    <w:rsid w:val="00F904A8"/>
    <w:rsid w:val="00F91DB7"/>
    <w:rsid w:val="00F91E56"/>
    <w:rsid w:val="00F92409"/>
    <w:rsid w:val="00F93448"/>
    <w:rsid w:val="00F9597F"/>
    <w:rsid w:val="00F964C3"/>
    <w:rsid w:val="00F966E2"/>
    <w:rsid w:val="00FA31BD"/>
    <w:rsid w:val="00FA66E7"/>
    <w:rsid w:val="00FA6AE7"/>
    <w:rsid w:val="00FA7613"/>
    <w:rsid w:val="00FB1BA2"/>
    <w:rsid w:val="00FC2322"/>
    <w:rsid w:val="00FC27F6"/>
    <w:rsid w:val="00FD5E15"/>
    <w:rsid w:val="00FD7221"/>
    <w:rsid w:val="00FD7FD3"/>
    <w:rsid w:val="00FE2F2E"/>
    <w:rsid w:val="00FE46C1"/>
    <w:rsid w:val="00FE4EC6"/>
    <w:rsid w:val="00FE51BD"/>
    <w:rsid w:val="00FE600A"/>
    <w:rsid w:val="00FE6D17"/>
    <w:rsid w:val="00FF01F9"/>
    <w:rsid w:val="00FF2160"/>
    <w:rsid w:val="00FF23C7"/>
    <w:rsid w:val="00FF292E"/>
    <w:rsid w:val="00FF38D7"/>
    <w:rsid w:val="00FF6298"/>
    <w:rsid w:val="01B3B17B"/>
    <w:rsid w:val="03FA03B7"/>
    <w:rsid w:val="04F3EDC8"/>
    <w:rsid w:val="0633971B"/>
    <w:rsid w:val="0685443E"/>
    <w:rsid w:val="0731A479"/>
    <w:rsid w:val="09ECA1B8"/>
    <w:rsid w:val="0A69453B"/>
    <w:rsid w:val="0A9A0BFB"/>
    <w:rsid w:val="0B9393D4"/>
    <w:rsid w:val="10B0E7A1"/>
    <w:rsid w:val="1341FD93"/>
    <w:rsid w:val="139383FE"/>
    <w:rsid w:val="152F545F"/>
    <w:rsid w:val="17ED78CC"/>
    <w:rsid w:val="182262D9"/>
    <w:rsid w:val="1AC76805"/>
    <w:rsid w:val="1BFAA87E"/>
    <w:rsid w:val="1C40CA3A"/>
    <w:rsid w:val="1CB766BE"/>
    <w:rsid w:val="1E91A45D"/>
    <w:rsid w:val="1FC20DA1"/>
    <w:rsid w:val="20C4B91E"/>
    <w:rsid w:val="275B8F28"/>
    <w:rsid w:val="2798573A"/>
    <w:rsid w:val="2957B381"/>
    <w:rsid w:val="2A8C1F84"/>
    <w:rsid w:val="2B595CE8"/>
    <w:rsid w:val="2EAFB5AD"/>
    <w:rsid w:val="363E240F"/>
    <w:rsid w:val="364F6075"/>
    <w:rsid w:val="3AC11A50"/>
    <w:rsid w:val="3B119532"/>
    <w:rsid w:val="42F73DDC"/>
    <w:rsid w:val="45D60F74"/>
    <w:rsid w:val="47D6EFDD"/>
    <w:rsid w:val="484948F5"/>
    <w:rsid w:val="504DDC37"/>
    <w:rsid w:val="5283F594"/>
    <w:rsid w:val="5470E09D"/>
    <w:rsid w:val="54F2AF1F"/>
    <w:rsid w:val="56602D5F"/>
    <w:rsid w:val="63AFCFF7"/>
    <w:rsid w:val="643252B8"/>
    <w:rsid w:val="69F3A601"/>
    <w:rsid w:val="6A92CC54"/>
    <w:rsid w:val="6C52AF03"/>
    <w:rsid w:val="6DB930B0"/>
    <w:rsid w:val="7016386B"/>
    <w:rsid w:val="72024325"/>
    <w:rsid w:val="728CA1D3"/>
    <w:rsid w:val="7775DEBD"/>
    <w:rsid w:val="78FBE357"/>
    <w:rsid w:val="7A00E2B0"/>
    <w:rsid w:val="7A3D22CB"/>
    <w:rsid w:val="7A70E873"/>
    <w:rsid w:val="7C31008A"/>
    <w:rsid w:val="7CA5DD31"/>
    <w:rsid w:val="7DA3EA8F"/>
    <w:rsid w:val="7DEB5AAD"/>
    <w:rsid w:val="7E035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34A0F"/>
  <w15:chartTrackingRefBased/>
  <w15:docId w15:val="{43FBA7E8-E684-4A95-A35A-1E1019F19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660D"/>
  </w:style>
  <w:style w:type="paragraph" w:styleId="Heading1">
    <w:name w:val="heading 1"/>
    <w:basedOn w:val="Normal"/>
    <w:next w:val="Normal"/>
    <w:link w:val="Heading1Char"/>
    <w:uiPriority w:val="9"/>
    <w:qFormat/>
    <w:rsid w:val="009B64E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E152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D3B24"/>
    <w:pPr>
      <w:keepNext/>
      <w:keepLines/>
      <w:spacing w:before="40" w:after="0"/>
      <w:outlineLvl w:val="2"/>
    </w:pPr>
    <w:rPr>
      <w:rFonts w:asciiTheme="majorHAnsi" w:eastAsiaTheme="majorEastAsia" w:hAnsiTheme="majorHAnsi" w:cstheme="majorBidi"/>
      <w:color w:val="1F3763" w:themeColor="accent1" w:themeShade="7F"/>
      <w:sz w:val="24"/>
      <w:szCs w:val="24"/>
      <w:lang w:val="en-IE" w:eastAsia="en-IE"/>
    </w:rPr>
  </w:style>
  <w:style w:type="paragraph" w:styleId="Heading4">
    <w:name w:val="heading 4"/>
    <w:basedOn w:val="Normal"/>
    <w:next w:val="Normal"/>
    <w:link w:val="Heading4Char"/>
    <w:uiPriority w:val="9"/>
    <w:unhideWhenUsed/>
    <w:qFormat/>
    <w:rsid w:val="00BA4FE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4E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9B64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4EB"/>
  </w:style>
  <w:style w:type="paragraph" w:styleId="Footer">
    <w:name w:val="footer"/>
    <w:basedOn w:val="Normal"/>
    <w:link w:val="FooterChar"/>
    <w:uiPriority w:val="99"/>
    <w:unhideWhenUsed/>
    <w:rsid w:val="009B64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4EB"/>
  </w:style>
  <w:style w:type="table" w:styleId="TableGrid">
    <w:name w:val="Table Grid"/>
    <w:basedOn w:val="TableNormal"/>
    <w:uiPriority w:val="39"/>
    <w:rsid w:val="001A1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next w:val="GridTable1Light-Accent5"/>
    <w:uiPriority w:val="46"/>
    <w:rsid w:val="00407AD0"/>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next w:val="GridTable1Light-Accent5"/>
    <w:uiPriority w:val="46"/>
    <w:rsid w:val="00F6326D"/>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53">
    <w:name w:val="Grid Table 1 Light - Accent 53"/>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BE1525"/>
    <w:rPr>
      <w:rFonts w:asciiTheme="majorHAnsi" w:eastAsiaTheme="majorEastAsia" w:hAnsiTheme="majorHAnsi" w:cstheme="majorBidi"/>
      <w:color w:val="2F5496" w:themeColor="accent1" w:themeShade="BF"/>
      <w:sz w:val="26"/>
      <w:szCs w:val="26"/>
    </w:rPr>
  </w:style>
  <w:style w:type="table" w:customStyle="1" w:styleId="GridTable1Light-Accent54">
    <w:name w:val="Grid Table 1 Light - Accent 54"/>
    <w:basedOn w:val="TableNormal"/>
    <w:next w:val="GridTable1Light-Accent5"/>
    <w:uiPriority w:val="46"/>
    <w:rsid w:val="00BE1525"/>
    <w:pPr>
      <w:spacing w:after="0" w:line="240" w:lineRule="auto"/>
    </w:pPr>
    <w:rPr>
      <w:lang w:val="en-IE"/>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1620B"/>
    <w:rPr>
      <w:color w:val="0563C1" w:themeColor="hyperlink"/>
      <w:u w:val="single"/>
    </w:rPr>
  </w:style>
  <w:style w:type="character" w:styleId="UnresolvedMention">
    <w:name w:val="Unresolved Mention"/>
    <w:basedOn w:val="DefaultParagraphFont"/>
    <w:uiPriority w:val="99"/>
    <w:semiHidden/>
    <w:unhideWhenUsed/>
    <w:rsid w:val="0041620B"/>
    <w:rPr>
      <w:color w:val="605E5C"/>
      <w:shd w:val="clear" w:color="auto" w:fill="E1DFDD"/>
    </w:rPr>
  </w:style>
  <w:style w:type="paragraph" w:styleId="BalloonText">
    <w:name w:val="Balloon Text"/>
    <w:basedOn w:val="Normal"/>
    <w:link w:val="BalloonTextChar"/>
    <w:uiPriority w:val="99"/>
    <w:semiHidden/>
    <w:unhideWhenUsed/>
    <w:rsid w:val="00226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A3C"/>
    <w:rPr>
      <w:rFonts w:ascii="Segoe UI" w:hAnsi="Segoe UI" w:cs="Segoe UI"/>
      <w:sz w:val="18"/>
      <w:szCs w:val="18"/>
    </w:rPr>
  </w:style>
  <w:style w:type="paragraph" w:styleId="ListParagraph">
    <w:name w:val="List Paragraph"/>
    <w:basedOn w:val="Normal"/>
    <w:uiPriority w:val="34"/>
    <w:qFormat/>
    <w:rsid w:val="0043008E"/>
    <w:pPr>
      <w:ind w:left="720"/>
      <w:contextualSpacing/>
    </w:pPr>
  </w:style>
  <w:style w:type="character" w:customStyle="1" w:styleId="Heading3Char">
    <w:name w:val="Heading 3 Char"/>
    <w:basedOn w:val="DefaultParagraphFont"/>
    <w:link w:val="Heading3"/>
    <w:uiPriority w:val="9"/>
    <w:rsid w:val="000D3B24"/>
    <w:rPr>
      <w:rFonts w:asciiTheme="majorHAnsi" w:eastAsiaTheme="majorEastAsia" w:hAnsiTheme="majorHAnsi" w:cstheme="majorBidi"/>
      <w:color w:val="1F3763" w:themeColor="accent1" w:themeShade="7F"/>
      <w:sz w:val="24"/>
      <w:szCs w:val="24"/>
      <w:lang w:val="en-IE" w:eastAsia="en-IE"/>
    </w:rPr>
  </w:style>
  <w:style w:type="table" w:styleId="PlainTable1">
    <w:name w:val="Plain Table 1"/>
    <w:basedOn w:val="TableNormal"/>
    <w:uiPriority w:val="41"/>
    <w:rsid w:val="000D3B24"/>
    <w:pPr>
      <w:spacing w:after="0" w:line="240" w:lineRule="auto"/>
    </w:pPr>
    <w:rPr>
      <w:lang w:val="en-IE"/>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C206F8"/>
    <w:rPr>
      <w:color w:val="954F72" w:themeColor="followedHyperlink"/>
      <w:u w:val="single"/>
    </w:rPr>
  </w:style>
  <w:style w:type="character" w:customStyle="1" w:styleId="Heading4Char">
    <w:name w:val="Heading 4 Char"/>
    <w:basedOn w:val="DefaultParagraphFont"/>
    <w:link w:val="Heading4"/>
    <w:uiPriority w:val="9"/>
    <w:rsid w:val="00BA4FE3"/>
    <w:rPr>
      <w:rFonts w:asciiTheme="majorHAnsi" w:eastAsiaTheme="majorEastAsia" w:hAnsiTheme="majorHAnsi" w:cstheme="majorBidi"/>
      <w:i/>
      <w:iCs/>
      <w:color w:val="2F5496" w:themeColor="accent1" w:themeShade="BF"/>
    </w:rPr>
  </w:style>
  <w:style w:type="character" w:styleId="SubtleEmphasis">
    <w:name w:val="Subtle Emphasis"/>
    <w:basedOn w:val="DefaultParagraphFont"/>
    <w:uiPriority w:val="19"/>
    <w:qFormat/>
    <w:rsid w:val="00BA7D5D"/>
    <w:rPr>
      <w:i/>
      <w:iCs/>
      <w:color w:val="404040" w:themeColor="text1" w:themeTint="BF"/>
    </w:rPr>
  </w:style>
  <w:style w:type="paragraph" w:styleId="Subtitle">
    <w:name w:val="Subtitle"/>
    <w:basedOn w:val="Normal"/>
    <w:next w:val="Normal"/>
    <w:link w:val="SubtitleChar"/>
    <w:uiPriority w:val="11"/>
    <w:qFormat/>
    <w:rsid w:val="00EB74E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B74E7"/>
    <w:rPr>
      <w:rFonts w:eastAsiaTheme="minorEastAsia"/>
      <w:color w:val="5A5A5A" w:themeColor="text1" w:themeTint="A5"/>
      <w:spacing w:val="15"/>
    </w:rPr>
  </w:style>
  <w:style w:type="paragraph" w:styleId="TOC1">
    <w:name w:val="toc 1"/>
    <w:basedOn w:val="Normal"/>
    <w:next w:val="Normal"/>
    <w:autoRedefine/>
    <w:uiPriority w:val="39"/>
    <w:unhideWhenUsed/>
    <w:rsid w:val="001E70B0"/>
    <w:pPr>
      <w:spacing w:after="100"/>
    </w:pPr>
  </w:style>
  <w:style w:type="paragraph" w:styleId="TOC3">
    <w:name w:val="toc 3"/>
    <w:basedOn w:val="Normal"/>
    <w:next w:val="Normal"/>
    <w:autoRedefine/>
    <w:uiPriority w:val="39"/>
    <w:unhideWhenUsed/>
    <w:rsid w:val="001E70B0"/>
    <w:pPr>
      <w:spacing w:after="100"/>
      <w:ind w:left="440"/>
    </w:pPr>
  </w:style>
  <w:style w:type="paragraph" w:styleId="TOC2">
    <w:name w:val="toc 2"/>
    <w:basedOn w:val="Normal"/>
    <w:next w:val="Normal"/>
    <w:autoRedefine/>
    <w:uiPriority w:val="39"/>
    <w:unhideWhenUsed/>
    <w:rsid w:val="000A00DC"/>
    <w:pPr>
      <w:spacing w:after="100"/>
      <w:ind w:left="220"/>
    </w:pPr>
  </w:style>
  <w:style w:type="paragraph" w:styleId="TOCHeading">
    <w:name w:val="TOC Heading"/>
    <w:basedOn w:val="Heading1"/>
    <w:next w:val="Normal"/>
    <w:uiPriority w:val="39"/>
    <w:unhideWhenUsed/>
    <w:qFormat/>
    <w:rsid w:val="00571B7E"/>
    <w:pPr>
      <w:outlineLvl w:val="9"/>
    </w:pPr>
  </w:style>
  <w:style w:type="table" w:customStyle="1" w:styleId="TableGrid1">
    <w:name w:val="Table Grid1"/>
    <w:basedOn w:val="TableNormal"/>
    <w:next w:val="TableGrid"/>
    <w:uiPriority w:val="39"/>
    <w:rsid w:val="00030936"/>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309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0936"/>
    <w:rPr>
      <w:sz w:val="20"/>
      <w:szCs w:val="20"/>
    </w:rPr>
  </w:style>
  <w:style w:type="character" w:styleId="FootnoteReference">
    <w:name w:val="footnote reference"/>
    <w:basedOn w:val="DefaultParagraphFont"/>
    <w:uiPriority w:val="99"/>
    <w:semiHidden/>
    <w:unhideWhenUsed/>
    <w:rsid w:val="0003093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58670">
      <w:bodyDiv w:val="1"/>
      <w:marLeft w:val="0"/>
      <w:marRight w:val="0"/>
      <w:marTop w:val="0"/>
      <w:marBottom w:val="0"/>
      <w:divBdr>
        <w:top w:val="none" w:sz="0" w:space="0" w:color="auto"/>
        <w:left w:val="none" w:sz="0" w:space="0" w:color="auto"/>
        <w:bottom w:val="none" w:sz="0" w:space="0" w:color="auto"/>
        <w:right w:val="none" w:sz="0" w:space="0" w:color="auto"/>
      </w:divBdr>
    </w:div>
    <w:div w:id="1581910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limatetoolkit4business.gov.ie/"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seai.ie/business-and-public-sector/small-and-medium-business/supports/energy-audits/" TargetMode="External"/><Relationship Id="rId2" Type="http://schemas.openxmlformats.org/officeDocument/2006/relationships/customXml" Target="../customXml/item2.xml"/><Relationship Id="rId16" Type="http://schemas.openxmlformats.org/officeDocument/2006/relationships/hyperlink" Target="https://www.seai.ie/energyacademy/"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dustryGrantClaims@enterprise-ireland.com"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terprise-ireland.com/en/Process/Companies/GreenStart-Grant-Claim-Form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9F68EF636B8B24DB7BDE15AC06D31F5" ma:contentTypeVersion="15" ma:contentTypeDescription="Create a new document." ma:contentTypeScope="" ma:versionID="196c70ff0f4c73072516cc173824b467">
  <xsd:schema xmlns:xsd="http://www.w3.org/2001/XMLSchema" xmlns:xs="http://www.w3.org/2001/XMLSchema" xmlns:p="http://schemas.microsoft.com/office/2006/metadata/properties" xmlns:ns2="ba202540-ab5c-4a37-b2cb-2e856e96994f" xmlns:ns3="0c07bb04-6ad9-40a3-893c-e4ff79fc85fa" targetNamespace="http://schemas.microsoft.com/office/2006/metadata/properties" ma:root="true" ma:fieldsID="291a19dc9fdde4f62bebb726cca191e6" ns2:_="" ns3:_="">
    <xsd:import namespace="ba202540-ab5c-4a37-b2cb-2e856e96994f"/>
    <xsd:import namespace="0c07bb04-6ad9-40a3-893c-e4ff79fc85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02540-ab5c-4a37-b2cb-2e856e969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9f7c7a3-53c4-4afb-8451-c4d558f2c4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7bb04-6ad9-40a3-893c-e4ff79fc85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1a4bf1f-ad3e-4c71-8a84-887acd935067}" ma:internalName="TaxCatchAll" ma:showField="CatchAllData" ma:web="0c07bb04-6ad9-40a3-893c-e4ff79fc85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0c07bb04-6ad9-40a3-893c-e4ff79fc85fa">
      <UserInfo>
        <DisplayName>Ó hAilín, Ruairí</DisplayName>
        <AccountId>12</AccountId>
        <AccountType/>
      </UserInfo>
      <UserInfo>
        <DisplayName>O'Regan, Kathleen</DisplayName>
        <AccountId>28</AccountId>
        <AccountType/>
      </UserInfo>
      <UserInfo>
        <DisplayName>Byrne, Angela</DisplayName>
        <AccountId>120</AccountId>
        <AccountType/>
      </UserInfo>
    </SharedWithUsers>
    <lcf76f155ced4ddcb4097134ff3c332f xmlns="ba202540-ab5c-4a37-b2cb-2e856e96994f">
      <Terms xmlns="http://schemas.microsoft.com/office/infopath/2007/PartnerControls"/>
    </lcf76f155ced4ddcb4097134ff3c332f>
    <TaxCatchAll xmlns="0c07bb04-6ad9-40a3-893c-e4ff79fc85fa" xsi:nil="true"/>
  </documentManagement>
</p:properties>
</file>

<file path=customXml/itemProps1.xml><?xml version="1.0" encoding="utf-8"?>
<ds:datastoreItem xmlns:ds="http://schemas.openxmlformats.org/officeDocument/2006/customXml" ds:itemID="{C62EFA91-3FC7-4ED7-8F3F-AD99BF65BA65}">
  <ds:schemaRefs>
    <ds:schemaRef ds:uri="http://schemas.openxmlformats.org/officeDocument/2006/bibliography"/>
  </ds:schemaRefs>
</ds:datastoreItem>
</file>

<file path=customXml/itemProps2.xml><?xml version="1.0" encoding="utf-8"?>
<ds:datastoreItem xmlns:ds="http://schemas.openxmlformats.org/officeDocument/2006/customXml" ds:itemID="{A56CB802-FB56-4E3A-9112-F97735BAE06B}">
  <ds:schemaRefs>
    <ds:schemaRef ds:uri="http://schemas.microsoft.com/sharepoint/v3/contenttype/forms"/>
  </ds:schemaRefs>
</ds:datastoreItem>
</file>

<file path=customXml/itemProps3.xml><?xml version="1.0" encoding="utf-8"?>
<ds:datastoreItem xmlns:ds="http://schemas.openxmlformats.org/officeDocument/2006/customXml" ds:itemID="{FB190780-0981-424E-9F05-98C5B3CB0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02540-ab5c-4a37-b2cb-2e856e96994f"/>
    <ds:schemaRef ds:uri="0c07bb04-6ad9-40a3-893c-e4ff79fc85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A69673-1286-4A91-98FD-7E3317334220}">
  <ds:schemaRefs>
    <ds:schemaRef ds:uri="http://schemas.microsoft.com/office/2006/metadata/properties"/>
    <ds:schemaRef ds:uri="http://schemas.microsoft.com/office/infopath/2007/PartnerControls"/>
    <ds:schemaRef ds:uri="0c07bb04-6ad9-40a3-893c-e4ff79fc85fa"/>
    <ds:schemaRef ds:uri="ba202540-ab5c-4a37-b2cb-2e856e96994f"/>
  </ds:schemaRefs>
</ds:datastoreItem>
</file>

<file path=docProps/app.xml><?xml version="1.0" encoding="utf-8"?>
<Properties xmlns="http://schemas.openxmlformats.org/officeDocument/2006/extended-properties" xmlns:vt="http://schemas.openxmlformats.org/officeDocument/2006/docPropsVTypes">
  <Template>Normal</Template>
  <TotalTime>940</TotalTime>
  <Pages>8</Pages>
  <Words>2774</Words>
  <Characters>15817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O'Regan, Kathleen</dc:creator>
  <cp:keywords/>
  <dc:description/>
  <cp:lastModifiedBy>O'Regan, Kathleen</cp:lastModifiedBy>
  <cp:revision>453</cp:revision>
  <dcterms:created xsi:type="dcterms:W3CDTF">2022-01-24T12:51:00Z</dcterms:created>
  <dcterms:modified xsi:type="dcterms:W3CDTF">2022-10-14T11:12:00Z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0x010100B9F68EF636B8B24DB7BDE15AC06D31F5</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